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6904" w14:textId="270745D9" w:rsidR="006E3802" w:rsidRDefault="00F713FA" w:rsidP="00665643">
      <w:pPr>
        <w:spacing w:line="360" w:lineRule="auto"/>
        <w:jc w:val="center"/>
        <w:rPr>
          <w:b/>
          <w:sz w:val="24"/>
          <w:szCs w:val="24"/>
        </w:rPr>
      </w:pPr>
      <w:r>
        <w:rPr>
          <w:b/>
          <w:sz w:val="24"/>
          <w:szCs w:val="24"/>
        </w:rPr>
        <w:t>SP.248 Preparation Assignment: Ill-</w:t>
      </w:r>
      <w:r w:rsidR="00665643">
        <w:rPr>
          <w:b/>
          <w:sz w:val="24"/>
          <w:szCs w:val="24"/>
        </w:rPr>
        <w:t>Structured</w:t>
      </w:r>
      <w:r>
        <w:rPr>
          <w:b/>
          <w:sz w:val="24"/>
          <w:szCs w:val="24"/>
        </w:rPr>
        <w:t xml:space="preserve"> Problems</w:t>
      </w:r>
    </w:p>
    <w:p w14:paraId="4C849A9D" w14:textId="77777777" w:rsidR="006E3802" w:rsidRDefault="006E3802">
      <w:pPr>
        <w:spacing w:line="360" w:lineRule="auto"/>
        <w:rPr>
          <w:sz w:val="24"/>
          <w:szCs w:val="24"/>
        </w:rPr>
      </w:pPr>
    </w:p>
    <w:p w14:paraId="162C62E9" w14:textId="314D106F" w:rsidR="006E3802" w:rsidRDefault="00F713FA">
      <w:pPr>
        <w:spacing w:line="360" w:lineRule="auto"/>
        <w:rPr>
          <w:b/>
          <w:sz w:val="24"/>
          <w:szCs w:val="24"/>
        </w:rPr>
      </w:pPr>
      <w:r>
        <w:rPr>
          <w:b/>
          <w:sz w:val="24"/>
          <w:szCs w:val="24"/>
        </w:rPr>
        <w:t>The Importance of Addressing Ill-</w:t>
      </w:r>
      <w:r w:rsidR="00665643">
        <w:rPr>
          <w:b/>
          <w:sz w:val="24"/>
          <w:szCs w:val="24"/>
        </w:rPr>
        <w:t>Structured</w:t>
      </w:r>
      <w:r>
        <w:rPr>
          <w:b/>
          <w:sz w:val="24"/>
          <w:szCs w:val="24"/>
        </w:rPr>
        <w:t xml:space="preserve"> Problems</w:t>
      </w:r>
    </w:p>
    <w:p w14:paraId="3FDB515F" w14:textId="30BBF59A" w:rsidR="006E3802" w:rsidRDefault="00F713FA">
      <w:pPr>
        <w:spacing w:line="360" w:lineRule="auto"/>
        <w:rPr>
          <w:sz w:val="24"/>
          <w:szCs w:val="24"/>
        </w:rPr>
      </w:pPr>
      <w:r>
        <w:rPr>
          <w:sz w:val="24"/>
          <w:szCs w:val="24"/>
        </w:rPr>
        <w:t>Demand is increasing for people able to address ill-</w:t>
      </w:r>
      <w:r w:rsidR="00665643">
        <w:rPr>
          <w:sz w:val="24"/>
          <w:szCs w:val="24"/>
        </w:rPr>
        <w:t>structured</w:t>
      </w:r>
      <w:r>
        <w:rPr>
          <w:sz w:val="24"/>
          <w:szCs w:val="24"/>
        </w:rPr>
        <w:t xml:space="preserve"> problems, especially on a global level</w:t>
      </w:r>
      <w:r>
        <w:rPr>
          <w:sz w:val="24"/>
          <w:szCs w:val="24"/>
          <w:vertAlign w:val="superscript"/>
        </w:rPr>
        <w:t>1</w:t>
      </w:r>
      <w:r>
        <w:rPr>
          <w:sz w:val="24"/>
          <w:szCs w:val="24"/>
        </w:rPr>
        <w:t>, and for science, technology, engineering, and mathematics (STEM) professions in the US in particular</w:t>
      </w:r>
      <w:r>
        <w:rPr>
          <w:sz w:val="24"/>
          <w:szCs w:val="24"/>
          <w:vertAlign w:val="superscript"/>
        </w:rPr>
        <w:t>2</w:t>
      </w:r>
      <w:r>
        <w:rPr>
          <w:sz w:val="24"/>
          <w:szCs w:val="24"/>
        </w:rPr>
        <w:t>. The importance of cultivating this ability has been recognized by various organizations, be it for society</w:t>
      </w:r>
      <w:r>
        <w:rPr>
          <w:sz w:val="24"/>
          <w:szCs w:val="24"/>
          <w:vertAlign w:val="superscript"/>
        </w:rPr>
        <w:t xml:space="preserve">3 </w:t>
      </w:r>
      <w:r>
        <w:rPr>
          <w:sz w:val="24"/>
          <w:szCs w:val="24"/>
        </w:rPr>
        <w:t>and for the economy</w:t>
      </w:r>
      <w:r>
        <w:rPr>
          <w:sz w:val="24"/>
          <w:szCs w:val="24"/>
          <w:vertAlign w:val="superscript"/>
        </w:rPr>
        <w:t>4</w:t>
      </w:r>
      <w:r>
        <w:rPr>
          <w:sz w:val="24"/>
          <w:szCs w:val="24"/>
        </w:rPr>
        <w:t>, or for formal education</w:t>
      </w:r>
      <w:r>
        <w:rPr>
          <w:sz w:val="24"/>
          <w:szCs w:val="24"/>
          <w:vertAlign w:val="superscript"/>
        </w:rPr>
        <w:t>5</w:t>
      </w:r>
      <w:r>
        <w:rPr>
          <w:sz w:val="24"/>
          <w:szCs w:val="24"/>
        </w:rPr>
        <w:t xml:space="preserve"> and more specifically for engineering higher education</w:t>
      </w:r>
      <w:r>
        <w:rPr>
          <w:sz w:val="24"/>
          <w:szCs w:val="24"/>
          <w:vertAlign w:val="superscript"/>
        </w:rPr>
        <w:t>6</w:t>
      </w:r>
      <w:r>
        <w:rPr>
          <w:sz w:val="24"/>
          <w:szCs w:val="24"/>
        </w:rPr>
        <w:t xml:space="preserve">. </w:t>
      </w:r>
    </w:p>
    <w:p w14:paraId="16AC4C3E" w14:textId="77777777" w:rsidR="006E3802" w:rsidRDefault="006E3802">
      <w:pPr>
        <w:spacing w:line="360" w:lineRule="auto"/>
        <w:rPr>
          <w:b/>
          <w:sz w:val="24"/>
          <w:szCs w:val="24"/>
        </w:rPr>
      </w:pPr>
    </w:p>
    <w:p w14:paraId="6AF59128" w14:textId="5DDD6B56" w:rsidR="006E3802" w:rsidRDefault="00F713FA">
      <w:pPr>
        <w:spacing w:line="360" w:lineRule="auto"/>
        <w:rPr>
          <w:b/>
          <w:sz w:val="24"/>
          <w:szCs w:val="24"/>
        </w:rPr>
      </w:pPr>
      <w:r>
        <w:rPr>
          <w:b/>
          <w:sz w:val="24"/>
          <w:szCs w:val="24"/>
        </w:rPr>
        <w:t xml:space="preserve">What </w:t>
      </w:r>
      <w:r w:rsidR="00AF12CD">
        <w:rPr>
          <w:b/>
          <w:sz w:val="24"/>
          <w:szCs w:val="24"/>
        </w:rPr>
        <w:t>are</w:t>
      </w:r>
      <w:r>
        <w:rPr>
          <w:b/>
          <w:sz w:val="24"/>
          <w:szCs w:val="24"/>
        </w:rPr>
        <w:t xml:space="preserve"> Ill-</w:t>
      </w:r>
      <w:r w:rsidR="00AF12CD">
        <w:rPr>
          <w:b/>
          <w:sz w:val="24"/>
          <w:szCs w:val="24"/>
        </w:rPr>
        <w:t>Structured</w:t>
      </w:r>
      <w:r>
        <w:rPr>
          <w:b/>
          <w:sz w:val="24"/>
          <w:szCs w:val="24"/>
        </w:rPr>
        <w:t xml:space="preserve"> Problem</w:t>
      </w:r>
      <w:r w:rsidR="00AF12CD">
        <w:rPr>
          <w:b/>
          <w:sz w:val="24"/>
          <w:szCs w:val="24"/>
        </w:rPr>
        <w:t>s</w:t>
      </w:r>
      <w:r>
        <w:rPr>
          <w:b/>
          <w:sz w:val="24"/>
          <w:szCs w:val="24"/>
        </w:rPr>
        <w:t>?</w:t>
      </w:r>
    </w:p>
    <w:p w14:paraId="69CE92EE" w14:textId="540CE807" w:rsidR="006E3802" w:rsidRDefault="00F713FA">
      <w:pPr>
        <w:spacing w:line="360" w:lineRule="auto"/>
        <w:rPr>
          <w:sz w:val="24"/>
          <w:szCs w:val="24"/>
        </w:rPr>
      </w:pPr>
      <w:r>
        <w:rPr>
          <w:sz w:val="24"/>
          <w:szCs w:val="24"/>
        </w:rPr>
        <w:t>An ill-structured</w:t>
      </w:r>
      <w:r w:rsidR="00445901">
        <w:rPr>
          <w:sz w:val="24"/>
          <w:szCs w:val="24"/>
        </w:rPr>
        <w:t xml:space="preserve"> (or ill-defined)</w:t>
      </w:r>
      <w:r>
        <w:rPr>
          <w:sz w:val="24"/>
          <w:szCs w:val="24"/>
        </w:rPr>
        <w:t xml:space="preserve"> problem is authentic (does or could exist in the real world), multidisciplinary, and complex, including multiple components and interrelationships. As Figure 1 shows, problems can be placed on a spectrum based on their structuredness, or </w:t>
      </w:r>
      <w:r w:rsidR="00DB3A67">
        <w:rPr>
          <w:sz w:val="24"/>
          <w:szCs w:val="24"/>
        </w:rPr>
        <w:t>the</w:t>
      </w:r>
      <w:r>
        <w:rPr>
          <w:sz w:val="24"/>
          <w:szCs w:val="24"/>
        </w:rPr>
        <w:t xml:space="preserve"> </w:t>
      </w:r>
      <w:r w:rsidR="00DB3A67">
        <w:rPr>
          <w:sz w:val="24"/>
          <w:szCs w:val="24"/>
        </w:rPr>
        <w:t>degree</w:t>
      </w:r>
      <w:r>
        <w:rPr>
          <w:sz w:val="24"/>
          <w:szCs w:val="24"/>
        </w:rPr>
        <w:t xml:space="preserve"> of knowledge regarding the (a) problematic state, (b) acceptable state(s), and (c) potentially effective approaches for bridging those states. Ill-</w:t>
      </w:r>
      <w:r w:rsidR="00DB0243">
        <w:rPr>
          <w:sz w:val="24"/>
          <w:szCs w:val="24"/>
        </w:rPr>
        <w:t>structured</w:t>
      </w:r>
      <w:r>
        <w:rPr>
          <w:sz w:val="24"/>
          <w:szCs w:val="24"/>
        </w:rPr>
        <w:t xml:space="preserve"> problems normally have multiple potential solutions, whereas well-</w:t>
      </w:r>
      <w:r w:rsidR="00DB0243">
        <w:rPr>
          <w:sz w:val="24"/>
          <w:szCs w:val="24"/>
        </w:rPr>
        <w:t>structured</w:t>
      </w:r>
      <w:r>
        <w:rPr>
          <w:sz w:val="24"/>
          <w:szCs w:val="24"/>
        </w:rPr>
        <w:t xml:space="preserve"> problems have fewer solutions</w:t>
      </w:r>
      <w:r>
        <w:rPr>
          <w:sz w:val="24"/>
          <w:szCs w:val="24"/>
          <w:vertAlign w:val="superscript"/>
        </w:rPr>
        <w:t>7</w:t>
      </w:r>
      <w:r>
        <w:rPr>
          <w:sz w:val="24"/>
          <w:szCs w:val="24"/>
        </w:rPr>
        <w:t xml:space="preserve">.  </w:t>
      </w:r>
    </w:p>
    <w:p w14:paraId="34E7A7C7" w14:textId="77777777" w:rsidR="006E3802" w:rsidRDefault="00F713FA">
      <w:pPr>
        <w:spacing w:line="360" w:lineRule="auto"/>
        <w:rPr>
          <w:sz w:val="24"/>
          <w:szCs w:val="24"/>
        </w:rPr>
      </w:pPr>
      <w:r>
        <w:rPr>
          <w:noProof/>
          <w:sz w:val="24"/>
          <w:szCs w:val="24"/>
        </w:rPr>
        <w:drawing>
          <wp:inline distT="0" distB="0" distL="0" distR="0" wp14:anchorId="34328121" wp14:editId="10909F2A">
            <wp:extent cx="5943600" cy="2756535"/>
            <wp:effectExtent l="0" t="0" r="0" b="0"/>
            <wp:docPr id="4" name="image1.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10;&#10;Description automatically generated"/>
                    <pic:cNvPicPr preferRelativeResize="0"/>
                  </pic:nvPicPr>
                  <pic:blipFill>
                    <a:blip r:embed="rId8"/>
                    <a:srcRect/>
                    <a:stretch>
                      <a:fillRect/>
                    </a:stretch>
                  </pic:blipFill>
                  <pic:spPr>
                    <a:xfrm>
                      <a:off x="0" y="0"/>
                      <a:ext cx="5943600" cy="2756535"/>
                    </a:xfrm>
                    <a:prstGeom prst="rect">
                      <a:avLst/>
                    </a:prstGeom>
                    <a:ln/>
                  </pic:spPr>
                </pic:pic>
              </a:graphicData>
            </a:graphic>
          </wp:inline>
        </w:drawing>
      </w:r>
    </w:p>
    <w:p w14:paraId="361C45AD" w14:textId="77777777" w:rsidR="006E3802" w:rsidRDefault="00F713FA">
      <w:pPr>
        <w:pBdr>
          <w:top w:val="nil"/>
          <w:left w:val="nil"/>
          <w:bottom w:val="nil"/>
          <w:right w:val="nil"/>
          <w:between w:val="nil"/>
        </w:pBdr>
        <w:spacing w:line="240" w:lineRule="auto"/>
        <w:jc w:val="center"/>
        <w:rPr>
          <w:color w:val="000000"/>
        </w:rPr>
      </w:pPr>
      <w:bookmarkStart w:id="0" w:name="_heading=h.gjdgxs" w:colFirst="0" w:colLast="0"/>
      <w:bookmarkEnd w:id="0"/>
      <w:r>
        <w:rPr>
          <w:color w:val="000000"/>
        </w:rPr>
        <w:t>Figure 1. The problem structuredness spectrum. Adapted from Jonassen (2000). Red: problematic state; Green: acceptable state; arrow: way for getting from problematic to acceptable state.</w:t>
      </w:r>
    </w:p>
    <w:p w14:paraId="75A9C327" w14:textId="77777777" w:rsidR="006E3802" w:rsidRDefault="006E3802">
      <w:pPr>
        <w:pBdr>
          <w:top w:val="nil"/>
          <w:left w:val="nil"/>
          <w:bottom w:val="nil"/>
          <w:right w:val="nil"/>
          <w:between w:val="nil"/>
        </w:pBdr>
        <w:spacing w:line="240" w:lineRule="auto"/>
        <w:jc w:val="center"/>
        <w:rPr>
          <w:rFonts w:ascii="Times New Roman" w:eastAsia="Times New Roman" w:hAnsi="Times New Roman" w:cs="Times New Roman"/>
          <w:color w:val="000000"/>
        </w:rPr>
      </w:pPr>
    </w:p>
    <w:p w14:paraId="0CB0B00C" w14:textId="77777777" w:rsidR="006E3802" w:rsidRDefault="00F713FA">
      <w:pPr>
        <w:spacing w:line="360" w:lineRule="auto"/>
        <w:rPr>
          <w:sz w:val="24"/>
          <w:szCs w:val="24"/>
        </w:rPr>
      </w:pPr>
      <w:r>
        <w:rPr>
          <w:sz w:val="24"/>
          <w:szCs w:val="24"/>
        </w:rPr>
        <w:lastRenderedPageBreak/>
        <w:t>Figure 2 shows examples for five types of problems with varying degrees of structuredness.</w:t>
      </w:r>
    </w:p>
    <w:p w14:paraId="715E8004" w14:textId="77777777" w:rsidR="006E3802" w:rsidRDefault="00F713FA">
      <w:pPr>
        <w:spacing w:line="360" w:lineRule="auto"/>
        <w:rPr>
          <w:sz w:val="24"/>
          <w:szCs w:val="24"/>
        </w:rPr>
      </w:pPr>
      <w:r>
        <w:rPr>
          <w:noProof/>
          <w:sz w:val="24"/>
          <w:szCs w:val="24"/>
        </w:rPr>
        <w:drawing>
          <wp:inline distT="0" distB="0" distL="0" distR="0" wp14:anchorId="1736CF60" wp14:editId="2CBE436F">
            <wp:extent cx="5943600" cy="3642360"/>
            <wp:effectExtent l="0" t="0" r="0" b="0"/>
            <wp:docPr id="6" name="image3.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able&#10;&#10;Description automatically generated"/>
                    <pic:cNvPicPr preferRelativeResize="0"/>
                  </pic:nvPicPr>
                  <pic:blipFill>
                    <a:blip r:embed="rId9"/>
                    <a:srcRect/>
                    <a:stretch>
                      <a:fillRect/>
                    </a:stretch>
                  </pic:blipFill>
                  <pic:spPr>
                    <a:xfrm>
                      <a:off x="0" y="0"/>
                      <a:ext cx="5943600" cy="3642360"/>
                    </a:xfrm>
                    <a:prstGeom prst="rect">
                      <a:avLst/>
                    </a:prstGeom>
                    <a:ln/>
                  </pic:spPr>
                </pic:pic>
              </a:graphicData>
            </a:graphic>
          </wp:inline>
        </w:drawing>
      </w:r>
    </w:p>
    <w:p w14:paraId="51621A7B" w14:textId="77777777" w:rsidR="006E3802" w:rsidRDefault="00F713FA">
      <w:pPr>
        <w:jc w:val="center"/>
        <w:rPr>
          <w:color w:val="000000"/>
        </w:rPr>
      </w:pPr>
      <w:r>
        <w:rPr>
          <w:color w:val="000000"/>
        </w:rPr>
        <w:t>Figure 2. Examples of problems with different degrees of structuredness. Adapted from Jonassen (2000). The arrow depicts an increase in problem structuredness.</w:t>
      </w:r>
    </w:p>
    <w:p w14:paraId="3B9EB26E" w14:textId="77777777" w:rsidR="006E3802" w:rsidRDefault="006E3802">
      <w:pPr>
        <w:spacing w:line="360" w:lineRule="auto"/>
        <w:rPr>
          <w:sz w:val="24"/>
          <w:szCs w:val="24"/>
        </w:rPr>
      </w:pPr>
    </w:p>
    <w:p w14:paraId="52300651" w14:textId="1816BAC0" w:rsidR="006E3802" w:rsidRDefault="00B47EE7">
      <w:pPr>
        <w:spacing w:line="360" w:lineRule="auto"/>
        <w:rPr>
          <w:sz w:val="24"/>
          <w:szCs w:val="24"/>
        </w:rPr>
      </w:pPr>
      <w:r>
        <w:rPr>
          <w:b/>
          <w:sz w:val="24"/>
          <w:szCs w:val="24"/>
        </w:rPr>
        <w:t xml:space="preserve">How can we </w:t>
      </w:r>
      <w:r w:rsidR="00F713FA">
        <w:rPr>
          <w:b/>
          <w:sz w:val="24"/>
          <w:szCs w:val="24"/>
        </w:rPr>
        <w:t>Address Ill-</w:t>
      </w:r>
      <w:r>
        <w:rPr>
          <w:b/>
          <w:sz w:val="24"/>
          <w:szCs w:val="24"/>
        </w:rPr>
        <w:t>Structured</w:t>
      </w:r>
      <w:r w:rsidR="00F713FA">
        <w:rPr>
          <w:b/>
          <w:sz w:val="24"/>
          <w:szCs w:val="24"/>
        </w:rPr>
        <w:t xml:space="preserve"> Problems</w:t>
      </w:r>
      <w:r>
        <w:rPr>
          <w:b/>
          <w:sz w:val="24"/>
          <w:szCs w:val="24"/>
        </w:rPr>
        <w:t>?</w:t>
      </w:r>
    </w:p>
    <w:p w14:paraId="176F41E5" w14:textId="3836610B" w:rsidR="006E3802" w:rsidRDefault="00F713FA">
      <w:pPr>
        <w:spacing w:line="360" w:lineRule="auto"/>
        <w:rPr>
          <w:sz w:val="24"/>
          <w:szCs w:val="24"/>
        </w:rPr>
      </w:pPr>
      <w:r>
        <w:rPr>
          <w:sz w:val="24"/>
          <w:szCs w:val="24"/>
        </w:rPr>
        <w:t>Addressing ill-</w:t>
      </w:r>
      <w:r w:rsidR="00C368D8">
        <w:rPr>
          <w:sz w:val="24"/>
          <w:szCs w:val="24"/>
        </w:rPr>
        <w:t>structured</w:t>
      </w:r>
      <w:r>
        <w:rPr>
          <w:sz w:val="24"/>
          <w:szCs w:val="24"/>
        </w:rPr>
        <w:t xml:space="preserve"> problems is an iterative process in which the initially vague conception of the problem is made clearer. This process results in the creation of artifacts (physical or digital). Solutions to ill-</w:t>
      </w:r>
      <w:r w:rsidR="00774552">
        <w:rPr>
          <w:sz w:val="24"/>
          <w:szCs w:val="24"/>
        </w:rPr>
        <w:t>structured</w:t>
      </w:r>
      <w:r>
        <w:rPr>
          <w:sz w:val="24"/>
          <w:szCs w:val="24"/>
        </w:rPr>
        <w:t xml:space="preserve"> problems are </w:t>
      </w:r>
      <w:r w:rsidR="00D643E1">
        <w:rPr>
          <w:sz w:val="24"/>
          <w:szCs w:val="24"/>
        </w:rPr>
        <w:t>not</w:t>
      </w:r>
      <w:r>
        <w:rPr>
          <w:sz w:val="24"/>
          <w:szCs w:val="24"/>
        </w:rPr>
        <w:t xml:space="preserve"> ‘correct’ or ‘incorrect’, but rather</w:t>
      </w:r>
      <w:r w:rsidR="009C1C53">
        <w:rPr>
          <w:sz w:val="24"/>
          <w:szCs w:val="24"/>
        </w:rPr>
        <w:t xml:space="preserve"> are</w:t>
      </w:r>
      <w:r>
        <w:rPr>
          <w:sz w:val="24"/>
          <w:szCs w:val="24"/>
        </w:rPr>
        <w:t xml:space="preserve"> </w:t>
      </w:r>
      <w:r w:rsidR="009C1C53">
        <w:rPr>
          <w:sz w:val="24"/>
          <w:szCs w:val="24"/>
        </w:rPr>
        <w:t>‘</w:t>
      </w:r>
      <w:r>
        <w:rPr>
          <w:sz w:val="24"/>
          <w:szCs w:val="24"/>
        </w:rPr>
        <w:t>better</w:t>
      </w:r>
      <w:r w:rsidR="009C1C53">
        <w:rPr>
          <w:sz w:val="24"/>
          <w:szCs w:val="24"/>
        </w:rPr>
        <w:t>’</w:t>
      </w:r>
      <w:r>
        <w:rPr>
          <w:sz w:val="24"/>
          <w:szCs w:val="24"/>
        </w:rPr>
        <w:t xml:space="preserve"> or </w:t>
      </w:r>
      <w:r w:rsidR="009C1C53">
        <w:rPr>
          <w:sz w:val="24"/>
          <w:szCs w:val="24"/>
        </w:rPr>
        <w:t>‘</w:t>
      </w:r>
      <w:r>
        <w:rPr>
          <w:sz w:val="24"/>
          <w:szCs w:val="24"/>
        </w:rPr>
        <w:t>worse</w:t>
      </w:r>
      <w:r w:rsidR="009C1C53">
        <w:rPr>
          <w:sz w:val="24"/>
          <w:szCs w:val="24"/>
        </w:rPr>
        <w:t>’ when compared with each other</w:t>
      </w:r>
      <w:r w:rsidR="006B16A5">
        <w:rPr>
          <w:sz w:val="24"/>
          <w:szCs w:val="24"/>
        </w:rPr>
        <w:t>. The value of a solution to an ill-structured problem</w:t>
      </w:r>
      <w:r>
        <w:rPr>
          <w:sz w:val="24"/>
          <w:szCs w:val="24"/>
        </w:rPr>
        <w:t xml:space="preserve"> depen</w:t>
      </w:r>
      <w:r w:rsidR="006B16A5">
        <w:rPr>
          <w:sz w:val="24"/>
          <w:szCs w:val="24"/>
        </w:rPr>
        <w:t>ds</w:t>
      </w:r>
      <w:r>
        <w:rPr>
          <w:sz w:val="24"/>
          <w:szCs w:val="24"/>
        </w:rPr>
        <w:t xml:space="preserve"> on inter-subjective success criteria agreed upon by a particular </w:t>
      </w:r>
      <w:r w:rsidR="006B16A5">
        <w:rPr>
          <w:sz w:val="24"/>
          <w:szCs w:val="24"/>
        </w:rPr>
        <w:t xml:space="preserve">group, such as the </w:t>
      </w:r>
      <w:r w:rsidR="00304F1D">
        <w:rPr>
          <w:sz w:val="24"/>
          <w:szCs w:val="24"/>
        </w:rPr>
        <w:t xml:space="preserve">problems’ </w:t>
      </w:r>
      <w:r w:rsidR="006B16A5">
        <w:rPr>
          <w:sz w:val="24"/>
          <w:szCs w:val="24"/>
        </w:rPr>
        <w:t>stakeholders</w:t>
      </w:r>
      <w:r w:rsidR="00304F1D">
        <w:rPr>
          <w:sz w:val="24"/>
          <w:szCs w:val="24"/>
        </w:rPr>
        <w:t>.</w:t>
      </w:r>
    </w:p>
    <w:p w14:paraId="223FBA52" w14:textId="77777777" w:rsidR="006E3802" w:rsidRDefault="006E3802">
      <w:pPr>
        <w:spacing w:line="360" w:lineRule="auto"/>
        <w:rPr>
          <w:sz w:val="24"/>
          <w:szCs w:val="24"/>
        </w:rPr>
      </w:pPr>
    </w:p>
    <w:p w14:paraId="01DBA440" w14:textId="2449EE97" w:rsidR="006E3802" w:rsidRDefault="00592F90">
      <w:pPr>
        <w:spacing w:line="360" w:lineRule="auto"/>
        <w:rPr>
          <w:color w:val="000000"/>
          <w:sz w:val="24"/>
          <w:szCs w:val="24"/>
        </w:rPr>
      </w:pPr>
      <w:r>
        <w:rPr>
          <w:color w:val="000000"/>
          <w:sz w:val="24"/>
          <w:szCs w:val="24"/>
        </w:rPr>
        <w:t xml:space="preserve">It stands to reason that the first step in addressing an ill-structured problem effectively would be to structure it. Once the problem has been structured, or defined, we can generate solutions for the problem based on the specific context, resources at our disposal, the disciplines involved, and so on. </w:t>
      </w:r>
      <w:r w:rsidR="00A56480">
        <w:rPr>
          <w:color w:val="000000"/>
          <w:sz w:val="24"/>
          <w:szCs w:val="24"/>
        </w:rPr>
        <w:t>Table</w:t>
      </w:r>
      <w:r w:rsidR="00D905F9">
        <w:rPr>
          <w:color w:val="000000"/>
          <w:sz w:val="24"/>
          <w:szCs w:val="24"/>
        </w:rPr>
        <w:t xml:space="preserve"> </w:t>
      </w:r>
      <w:r w:rsidR="007D3F32">
        <w:rPr>
          <w:color w:val="000000"/>
          <w:sz w:val="24"/>
          <w:szCs w:val="24"/>
        </w:rPr>
        <w:t>1</w:t>
      </w:r>
      <w:r w:rsidR="00D905F9">
        <w:rPr>
          <w:color w:val="000000"/>
          <w:sz w:val="24"/>
          <w:szCs w:val="24"/>
        </w:rPr>
        <w:t xml:space="preserve"> </w:t>
      </w:r>
      <w:r w:rsidR="00976AAF">
        <w:rPr>
          <w:color w:val="000000"/>
          <w:sz w:val="24"/>
          <w:szCs w:val="24"/>
        </w:rPr>
        <w:t>summarizes</w:t>
      </w:r>
      <w:r w:rsidR="00D905F9">
        <w:rPr>
          <w:color w:val="000000"/>
          <w:sz w:val="24"/>
          <w:szCs w:val="24"/>
        </w:rPr>
        <w:t xml:space="preserve"> a method for structuring</w:t>
      </w:r>
      <w:r w:rsidR="00517AED">
        <w:rPr>
          <w:color w:val="000000"/>
          <w:sz w:val="24"/>
          <w:szCs w:val="24"/>
        </w:rPr>
        <w:t xml:space="preserve"> ill-structured problems,</w:t>
      </w:r>
      <w:r w:rsidR="00D905F9">
        <w:rPr>
          <w:color w:val="000000"/>
          <w:sz w:val="24"/>
          <w:szCs w:val="24"/>
        </w:rPr>
        <w:t xml:space="preserve"> called DIMES: Describe, Inquire, Model, Extract, </w:t>
      </w:r>
      <w:r w:rsidR="00D905F9">
        <w:rPr>
          <w:color w:val="000000"/>
          <w:sz w:val="24"/>
          <w:szCs w:val="24"/>
        </w:rPr>
        <w:lastRenderedPageBreak/>
        <w:t>State.</w:t>
      </w:r>
      <w:r w:rsidR="00C7576B">
        <w:rPr>
          <w:color w:val="000000"/>
          <w:sz w:val="24"/>
          <w:szCs w:val="24"/>
        </w:rPr>
        <w:t xml:space="preserve"> Note that the process of addressing ill-structured problems is nearly always iterative, </w:t>
      </w:r>
      <w:r w:rsidR="006E3EE5">
        <w:rPr>
          <w:color w:val="000000"/>
          <w:sz w:val="24"/>
          <w:szCs w:val="24"/>
        </w:rPr>
        <w:t xml:space="preserve">moving back and forth between stages, </w:t>
      </w:r>
      <w:r w:rsidR="00C7576B">
        <w:rPr>
          <w:color w:val="000000"/>
          <w:sz w:val="24"/>
          <w:szCs w:val="24"/>
        </w:rPr>
        <w:t>even though the method is presented as linear.</w:t>
      </w:r>
    </w:p>
    <w:p w14:paraId="4ABAB6AE" w14:textId="1068AB9A" w:rsidR="00D80448" w:rsidRPr="00805B65" w:rsidRDefault="00D80448" w:rsidP="00D80448">
      <w:pPr>
        <w:jc w:val="center"/>
        <w:rPr>
          <w:color w:val="000000"/>
        </w:rPr>
      </w:pPr>
      <w:r w:rsidRPr="00805B65">
        <w:rPr>
          <w:color w:val="000000"/>
        </w:rPr>
        <w:t>Table 1. The DIMES method for structuring ill-structured problems.</w:t>
      </w:r>
    </w:p>
    <w:tbl>
      <w:tblPr>
        <w:tblW w:w="0" w:type="auto"/>
        <w:tblCellMar>
          <w:top w:w="15" w:type="dxa"/>
          <w:left w:w="15" w:type="dxa"/>
          <w:bottom w:w="15" w:type="dxa"/>
          <w:right w:w="15" w:type="dxa"/>
        </w:tblCellMar>
        <w:tblLook w:val="04A0" w:firstRow="1" w:lastRow="0" w:firstColumn="1" w:lastColumn="0" w:noHBand="0" w:noVBand="1"/>
      </w:tblPr>
      <w:tblGrid>
        <w:gridCol w:w="1340"/>
        <w:gridCol w:w="5940"/>
        <w:gridCol w:w="2060"/>
      </w:tblGrid>
      <w:tr w:rsidR="00804D67" w:rsidRPr="00804D67" w14:paraId="3F29F50C"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B2EA0" w14:textId="77777777" w:rsidR="00804D67" w:rsidRPr="00804D67" w:rsidRDefault="00804D67" w:rsidP="00804D67">
            <w:pPr>
              <w:spacing w:line="240" w:lineRule="auto"/>
              <w:jc w:val="center"/>
              <w:rPr>
                <w:rFonts w:ascii="Times New Roman" w:eastAsia="Times New Roman" w:hAnsi="Times New Roman" w:cs="Times New Roman"/>
                <w:sz w:val="24"/>
                <w:szCs w:val="24"/>
              </w:rPr>
            </w:pPr>
            <w:r w:rsidRPr="00804D67">
              <w:rPr>
                <w:rFonts w:eastAsia="Times New Roman"/>
                <w:color w:val="000000"/>
              </w:rPr>
              <w:t>Stage</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877FB" w14:textId="77777777" w:rsidR="00804D67" w:rsidRPr="00804D67" w:rsidRDefault="00804D67" w:rsidP="00804D67">
            <w:pPr>
              <w:spacing w:line="240" w:lineRule="auto"/>
              <w:jc w:val="center"/>
              <w:rPr>
                <w:rFonts w:ascii="Times New Roman" w:eastAsia="Times New Roman" w:hAnsi="Times New Roman" w:cs="Times New Roman"/>
                <w:sz w:val="24"/>
                <w:szCs w:val="24"/>
              </w:rPr>
            </w:pPr>
            <w:r w:rsidRPr="00804D67">
              <w:rPr>
                <w:rFonts w:eastAsia="Times New Roman"/>
                <w:color w:val="000000"/>
              </w:rPr>
              <w:t>Activity</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FB971" w14:textId="77777777" w:rsidR="00804D67" w:rsidRPr="00804D67" w:rsidRDefault="00804D67" w:rsidP="00804D67">
            <w:pPr>
              <w:spacing w:line="240" w:lineRule="auto"/>
              <w:jc w:val="center"/>
              <w:rPr>
                <w:rFonts w:ascii="Times New Roman" w:eastAsia="Times New Roman" w:hAnsi="Times New Roman" w:cs="Times New Roman"/>
                <w:sz w:val="24"/>
                <w:szCs w:val="24"/>
              </w:rPr>
            </w:pPr>
            <w:r w:rsidRPr="00804D67">
              <w:rPr>
                <w:rFonts w:eastAsia="Times New Roman"/>
                <w:color w:val="000000"/>
              </w:rPr>
              <w:t>Product</w:t>
            </w:r>
          </w:p>
        </w:tc>
      </w:tr>
      <w:tr w:rsidR="00804D67" w:rsidRPr="00804D67" w14:paraId="17200C73"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AB4C3" w14:textId="3A6D09C7" w:rsidR="00804D67" w:rsidRPr="00804D67" w:rsidRDefault="00804D67" w:rsidP="00804D67">
            <w:pPr>
              <w:spacing w:line="240" w:lineRule="auto"/>
              <w:rPr>
                <w:rFonts w:ascii="Times New Roman" w:eastAsia="Times New Roman" w:hAnsi="Times New Roman" w:cs="Times New Roman"/>
                <w:sz w:val="24"/>
                <w:szCs w:val="24"/>
              </w:rPr>
            </w:pPr>
            <w:r>
              <w:rPr>
                <w:rFonts w:eastAsia="Times New Roman"/>
                <w:color w:val="000000"/>
              </w:rPr>
              <w:t xml:space="preserve">1. </w:t>
            </w:r>
            <w:r w:rsidRPr="00804D67">
              <w:rPr>
                <w:rFonts w:eastAsia="Times New Roman"/>
                <w:color w:val="000000"/>
              </w:rPr>
              <w:t>Describe</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569CA"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Describe the problem in a brief and unstructured way, using plain language.</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85920"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Problem description</w:t>
            </w:r>
          </w:p>
        </w:tc>
      </w:tr>
      <w:tr w:rsidR="00804D67" w:rsidRPr="00804D67" w14:paraId="485F9369"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A59DD" w14:textId="0FF6665E" w:rsidR="00804D67" w:rsidRPr="00804D67" w:rsidRDefault="00804D67" w:rsidP="00804D67">
            <w:pPr>
              <w:spacing w:line="240" w:lineRule="auto"/>
              <w:rPr>
                <w:rFonts w:ascii="Times New Roman" w:eastAsia="Times New Roman" w:hAnsi="Times New Roman" w:cs="Times New Roman"/>
                <w:sz w:val="24"/>
                <w:szCs w:val="24"/>
              </w:rPr>
            </w:pPr>
            <w:r>
              <w:rPr>
                <w:rFonts w:eastAsia="Times New Roman"/>
                <w:color w:val="000000"/>
              </w:rPr>
              <w:t xml:space="preserve">2. </w:t>
            </w:r>
            <w:r w:rsidRPr="00804D67">
              <w:rPr>
                <w:rFonts w:eastAsia="Times New Roman"/>
                <w:color w:val="000000"/>
              </w:rPr>
              <w:t>Inquire</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65511"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 xml:space="preserve">Inquire into the problem as a researcher, based on the five </w:t>
            </w:r>
            <w:proofErr w:type="spellStart"/>
            <w:r w:rsidRPr="00804D67">
              <w:rPr>
                <w:rFonts w:eastAsia="Times New Roman"/>
                <w:color w:val="000000"/>
              </w:rPr>
              <w:t>Ws</w:t>
            </w:r>
            <w:proofErr w:type="spellEnd"/>
            <w:r w:rsidRPr="00804D67">
              <w:rPr>
                <w:rFonts w:eastAsia="Times New Roman"/>
                <w:color w:val="000000"/>
              </w:rPr>
              <w:t xml:space="preserve"> of who, what, where, when, and why.</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A4896"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Case description</w:t>
            </w:r>
          </w:p>
        </w:tc>
      </w:tr>
      <w:tr w:rsidR="00804D67" w:rsidRPr="00804D67" w14:paraId="47F220BE"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6F2B9" w14:textId="1CE8C1BA" w:rsidR="00804D67" w:rsidRPr="00804D67" w:rsidRDefault="00804D67" w:rsidP="00804D67">
            <w:pPr>
              <w:spacing w:line="240" w:lineRule="auto"/>
              <w:rPr>
                <w:rFonts w:ascii="Times New Roman" w:eastAsia="Times New Roman" w:hAnsi="Times New Roman" w:cs="Times New Roman"/>
                <w:sz w:val="24"/>
                <w:szCs w:val="24"/>
              </w:rPr>
            </w:pPr>
            <w:r>
              <w:rPr>
                <w:rFonts w:eastAsia="Times New Roman"/>
                <w:color w:val="000000"/>
              </w:rPr>
              <w:t xml:space="preserve">3. </w:t>
            </w:r>
            <w:r w:rsidRPr="00804D67">
              <w:rPr>
                <w:rFonts w:eastAsia="Times New Roman"/>
                <w:color w:val="000000"/>
              </w:rPr>
              <w:t>Model</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A52F0"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Based on the case description, model the problem as a conceptual hierarchy of objects, processes, and functions.</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8FB6"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Conceptual hierarchical model</w:t>
            </w:r>
          </w:p>
        </w:tc>
      </w:tr>
      <w:tr w:rsidR="00804D67" w:rsidRPr="00804D67" w14:paraId="5751279D"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EFAE2" w14:textId="156D6F1C" w:rsidR="00804D67" w:rsidRPr="00804D67" w:rsidRDefault="00804D67" w:rsidP="00804D67">
            <w:pPr>
              <w:spacing w:line="240" w:lineRule="auto"/>
              <w:rPr>
                <w:rFonts w:ascii="Times New Roman" w:eastAsia="Times New Roman" w:hAnsi="Times New Roman" w:cs="Times New Roman"/>
                <w:sz w:val="24"/>
                <w:szCs w:val="24"/>
              </w:rPr>
            </w:pPr>
            <w:r>
              <w:rPr>
                <w:rFonts w:eastAsia="Times New Roman"/>
                <w:color w:val="000000"/>
              </w:rPr>
              <w:t xml:space="preserve">4. </w:t>
            </w:r>
            <w:r w:rsidRPr="00804D67">
              <w:rPr>
                <w:rFonts w:eastAsia="Times New Roman"/>
                <w:color w:val="000000"/>
              </w:rPr>
              <w:t>Extract</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B6C1F"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Extract leverage points (high impact-to-cost ratio), i.e., objects, processes, or functions deep within the model with which one could have a substantial impact on the problem with relatively little effort.</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A7B1" w14:textId="4C618D5A"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List of leverage points</w:t>
            </w:r>
          </w:p>
        </w:tc>
      </w:tr>
      <w:tr w:rsidR="00804D67" w:rsidRPr="00804D67" w14:paraId="3239934F" w14:textId="77777777" w:rsidTr="009F5A27">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9849B" w14:textId="0F08403C" w:rsidR="00804D67" w:rsidRPr="00804D67" w:rsidRDefault="00804D67" w:rsidP="00804D67">
            <w:pPr>
              <w:spacing w:line="240" w:lineRule="auto"/>
              <w:rPr>
                <w:rFonts w:ascii="Times New Roman" w:eastAsia="Times New Roman" w:hAnsi="Times New Roman" w:cs="Times New Roman"/>
                <w:sz w:val="24"/>
                <w:szCs w:val="24"/>
              </w:rPr>
            </w:pPr>
            <w:r>
              <w:rPr>
                <w:rFonts w:eastAsia="Times New Roman"/>
                <w:color w:val="000000"/>
              </w:rPr>
              <w:t xml:space="preserve">5. </w:t>
            </w:r>
            <w:r w:rsidRPr="00804D67">
              <w:rPr>
                <w:rFonts w:eastAsia="Times New Roman"/>
                <w:color w:val="000000"/>
              </w:rPr>
              <w:t>State</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10E97"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 xml:space="preserve">State the problem concisely and in a solution-neutral way based on the answers to the five </w:t>
            </w:r>
            <w:proofErr w:type="spellStart"/>
            <w:r w:rsidRPr="00804D67">
              <w:rPr>
                <w:rFonts w:eastAsia="Times New Roman"/>
                <w:color w:val="000000"/>
              </w:rPr>
              <w:t>Ws</w:t>
            </w:r>
            <w:proofErr w:type="spellEnd"/>
            <w:r w:rsidRPr="00804D67">
              <w:rPr>
                <w:rFonts w:eastAsia="Times New Roman"/>
                <w:color w:val="000000"/>
              </w:rPr>
              <w:t xml:space="preserve"> from the case description and on the list of leverage points &amp; data analysis insights.</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9A05B" w14:textId="77777777" w:rsidR="00804D67" w:rsidRPr="00804D67" w:rsidRDefault="00804D67" w:rsidP="00804D67">
            <w:pPr>
              <w:spacing w:line="240" w:lineRule="auto"/>
              <w:rPr>
                <w:rFonts w:ascii="Times New Roman" w:eastAsia="Times New Roman" w:hAnsi="Times New Roman" w:cs="Times New Roman"/>
                <w:sz w:val="24"/>
                <w:szCs w:val="24"/>
              </w:rPr>
            </w:pPr>
            <w:r w:rsidRPr="00804D67">
              <w:rPr>
                <w:rFonts w:eastAsia="Times New Roman"/>
                <w:color w:val="000000"/>
              </w:rPr>
              <w:t>Problem statement</w:t>
            </w:r>
          </w:p>
        </w:tc>
      </w:tr>
    </w:tbl>
    <w:p w14:paraId="05729818" w14:textId="77777777" w:rsidR="00BB47E3" w:rsidRPr="00BB47E3" w:rsidRDefault="00BB47E3" w:rsidP="00BB47E3">
      <w:pPr>
        <w:jc w:val="center"/>
        <w:rPr>
          <w:color w:val="000000"/>
        </w:rPr>
      </w:pPr>
    </w:p>
    <w:p w14:paraId="2916A8D5" w14:textId="77777777" w:rsidR="006E3802" w:rsidRDefault="00F713FA">
      <w:pPr>
        <w:spacing w:line="360" w:lineRule="auto"/>
        <w:rPr>
          <w:b/>
          <w:sz w:val="24"/>
          <w:szCs w:val="24"/>
        </w:rPr>
      </w:pPr>
      <w:r>
        <w:rPr>
          <w:b/>
          <w:sz w:val="24"/>
          <w:szCs w:val="24"/>
        </w:rPr>
        <w:t>References</w:t>
      </w:r>
    </w:p>
    <w:p w14:paraId="6557B131" w14:textId="77777777"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Nedelkoska</w:t>
      </w:r>
      <w:proofErr w:type="spellEnd"/>
      <w:r>
        <w:rPr>
          <w:rFonts w:ascii="Times New Roman" w:eastAsia="Times New Roman" w:hAnsi="Times New Roman" w:cs="Times New Roman"/>
          <w:color w:val="222222"/>
          <w:sz w:val="24"/>
          <w:szCs w:val="24"/>
        </w:rPr>
        <w:t xml:space="preserve">, L., &amp; </w:t>
      </w:r>
      <w:proofErr w:type="spellStart"/>
      <w:r>
        <w:rPr>
          <w:rFonts w:ascii="Times New Roman" w:eastAsia="Times New Roman" w:hAnsi="Times New Roman" w:cs="Times New Roman"/>
          <w:color w:val="222222"/>
          <w:sz w:val="24"/>
          <w:szCs w:val="24"/>
        </w:rPr>
        <w:t>Quintini</w:t>
      </w:r>
      <w:proofErr w:type="spellEnd"/>
      <w:r>
        <w:rPr>
          <w:rFonts w:ascii="Times New Roman" w:eastAsia="Times New Roman" w:hAnsi="Times New Roman" w:cs="Times New Roman"/>
          <w:color w:val="222222"/>
          <w:sz w:val="24"/>
          <w:szCs w:val="24"/>
        </w:rPr>
        <w:t>, G. (2018). Automation, skills use and training.</w:t>
      </w:r>
    </w:p>
    <w:p w14:paraId="70359F61" w14:textId="77777777"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Jang, H. (2016). Identifying 21st century STEM competencies using workplace data. Journal of Science Education and Technology, 25(2), 284–301. </w:t>
      </w:r>
    </w:p>
    <w:p w14:paraId="543052BC" w14:textId="77777777"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Scott, C. L. (2015). The futures of learning 2: What kind of learning for the 21st century. UNESCO Education Research and Foresight. Paris, France. </w:t>
      </w:r>
    </w:p>
    <w:p w14:paraId="5CE2D1EF" w14:textId="77777777"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World economic forum, the future of jobs: Employment, skills and workforce strategy for the fourth industrial revolution, in Global Challenge Insight Report, World Econ. Forum, Geneva, Switzerland, 2016.</w:t>
      </w:r>
    </w:p>
    <w:p w14:paraId="049C9D49" w14:textId="77777777"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National Research Council. (2013). Education for life and work: Developing transferable knowledge and skills in the 21st century. Washington, DC: National Academies Press.  </w:t>
      </w:r>
    </w:p>
    <w:p w14:paraId="074ABCBC" w14:textId="72B0F686" w:rsidR="006E3802"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ABET. (20</w:t>
      </w:r>
      <w:r w:rsidR="00665643">
        <w:rPr>
          <w:rFonts w:ascii="Times New Roman" w:eastAsia="Times New Roman" w:hAnsi="Times New Roman" w:cs="Times New Roman"/>
          <w:color w:val="222222"/>
          <w:sz w:val="24"/>
          <w:szCs w:val="24"/>
        </w:rPr>
        <w:t>21</w:t>
      </w:r>
      <w:r>
        <w:rPr>
          <w:rFonts w:ascii="Times New Roman" w:eastAsia="Times New Roman" w:hAnsi="Times New Roman" w:cs="Times New Roman"/>
          <w:color w:val="222222"/>
          <w:sz w:val="24"/>
          <w:szCs w:val="24"/>
        </w:rPr>
        <w:t>). General criterion 3. Student outcomes from criteria for Accrediting Engineering Programs, 20</w:t>
      </w:r>
      <w:r w:rsidR="00665643">
        <w:rPr>
          <w:rFonts w:ascii="Times New Roman" w:eastAsia="Times New Roman" w:hAnsi="Times New Roman" w:cs="Times New Roman"/>
          <w:color w:val="222222"/>
          <w:sz w:val="24"/>
          <w:szCs w:val="24"/>
        </w:rPr>
        <w:t>21</w:t>
      </w:r>
      <w:r>
        <w:rPr>
          <w:rFonts w:ascii="Times New Roman" w:eastAsia="Times New Roman" w:hAnsi="Times New Roman" w:cs="Times New Roman"/>
          <w:color w:val="222222"/>
          <w:sz w:val="24"/>
          <w:szCs w:val="24"/>
        </w:rPr>
        <w:t>–20</w:t>
      </w:r>
      <w:r w:rsidR="00665643">
        <w:rPr>
          <w:rFonts w:ascii="Times New Roman" w:eastAsia="Times New Roman" w:hAnsi="Times New Roman" w:cs="Times New Roman"/>
          <w:color w:val="222222"/>
          <w:sz w:val="24"/>
          <w:szCs w:val="24"/>
        </w:rPr>
        <w:t>22</w:t>
      </w:r>
      <w:r>
        <w:rPr>
          <w:rFonts w:ascii="Times New Roman" w:eastAsia="Times New Roman" w:hAnsi="Times New Roman" w:cs="Times New Roman"/>
          <w:color w:val="222222"/>
          <w:sz w:val="24"/>
          <w:szCs w:val="24"/>
        </w:rPr>
        <w:t>. </w:t>
      </w:r>
    </w:p>
    <w:p w14:paraId="59372926" w14:textId="77777777" w:rsidR="006E3802" w:rsidRPr="000A39E0" w:rsidRDefault="00F713F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D. H. Jonassen, “Toward a design theory of problem solving,” Educ. Technol. Res. Develop., vol. 48, no. 4, pp. 63–85, 2000.</w:t>
      </w:r>
    </w:p>
    <w:p w14:paraId="46EA0F1E" w14:textId="1C52D8C7" w:rsidR="000A39E0" w:rsidRDefault="000A39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E660D32" w14:textId="77777777" w:rsidR="000A39E0" w:rsidRPr="0065769D" w:rsidRDefault="000A39E0" w:rsidP="000A39E0">
      <w:pPr>
        <w:rPr>
          <w:sz w:val="20"/>
        </w:rPr>
      </w:pPr>
      <w:r w:rsidRPr="0065769D">
        <w:rPr>
          <w:sz w:val="20"/>
        </w:rPr>
        <w:lastRenderedPageBreak/>
        <w:t xml:space="preserve">MIT </w:t>
      </w:r>
      <w:proofErr w:type="spellStart"/>
      <w:r w:rsidRPr="0065769D">
        <w:rPr>
          <w:sz w:val="20"/>
        </w:rPr>
        <w:t>OpenCourseWare</w:t>
      </w:r>
      <w:proofErr w:type="spellEnd"/>
    </w:p>
    <w:p w14:paraId="2C15271C" w14:textId="77777777" w:rsidR="000A39E0" w:rsidRPr="0065769D" w:rsidRDefault="000A39E0" w:rsidP="000A39E0">
      <w:pPr>
        <w:rPr>
          <w:sz w:val="20"/>
        </w:rPr>
      </w:pPr>
      <w:hyperlink r:id="rId10" w:history="1">
        <w:r w:rsidRPr="006F3AD2">
          <w:rPr>
            <w:rStyle w:val="Hyperlink"/>
            <w:sz w:val="20"/>
          </w:rPr>
          <w:t>https://ocw.mit.edu/</w:t>
        </w:r>
      </w:hyperlink>
    </w:p>
    <w:p w14:paraId="428A1EE2" w14:textId="77777777" w:rsidR="000A39E0" w:rsidRPr="0065769D" w:rsidRDefault="000A39E0" w:rsidP="000A39E0">
      <w:pPr>
        <w:rPr>
          <w:sz w:val="20"/>
        </w:rPr>
      </w:pPr>
    </w:p>
    <w:p w14:paraId="47CFA968" w14:textId="77777777" w:rsidR="000A39E0" w:rsidRPr="0065769D" w:rsidRDefault="000A39E0" w:rsidP="000A39E0"/>
    <w:p w14:paraId="04A2C471" w14:textId="77777777" w:rsidR="000A39E0" w:rsidRPr="0065769D" w:rsidRDefault="000A39E0" w:rsidP="000A39E0"/>
    <w:p w14:paraId="7356C55D" w14:textId="77777777" w:rsidR="000A39E0" w:rsidRPr="0065769D" w:rsidRDefault="000A39E0" w:rsidP="000A39E0">
      <w:r>
        <w:t>SP</w:t>
      </w:r>
      <w:r w:rsidRPr="0065769D">
        <w:t>.</w:t>
      </w:r>
      <w:r>
        <w:t>248</w:t>
      </w:r>
      <w:r w:rsidRPr="0065769D">
        <w:t xml:space="preserve"> </w:t>
      </w:r>
      <w:r>
        <w:t>The NEET Experience</w:t>
      </w:r>
    </w:p>
    <w:p w14:paraId="62DE8854" w14:textId="77777777" w:rsidR="000A39E0" w:rsidRPr="0065769D" w:rsidRDefault="000A39E0" w:rsidP="000A39E0">
      <w:pPr>
        <w:rPr>
          <w:sz w:val="20"/>
        </w:rPr>
      </w:pPr>
      <w:r>
        <w:rPr>
          <w:sz w:val="20"/>
        </w:rPr>
        <w:t>Fall</w:t>
      </w:r>
      <w:r w:rsidRPr="0065769D">
        <w:rPr>
          <w:sz w:val="20"/>
        </w:rPr>
        <w:t xml:space="preserve"> 20</w:t>
      </w:r>
      <w:r>
        <w:rPr>
          <w:sz w:val="20"/>
        </w:rPr>
        <w:t>25</w:t>
      </w:r>
    </w:p>
    <w:p w14:paraId="0E20EEFD" w14:textId="77777777" w:rsidR="000A39E0" w:rsidRPr="0065769D" w:rsidRDefault="000A39E0" w:rsidP="000A39E0">
      <w:pPr>
        <w:rPr>
          <w:sz w:val="20"/>
        </w:rPr>
      </w:pPr>
    </w:p>
    <w:p w14:paraId="207D05AD" w14:textId="77777777" w:rsidR="000A39E0" w:rsidRPr="0065769D" w:rsidRDefault="000A39E0" w:rsidP="000A39E0">
      <w:pPr>
        <w:rPr>
          <w:sz w:val="20"/>
        </w:rPr>
      </w:pPr>
    </w:p>
    <w:p w14:paraId="774F864D" w14:textId="77777777" w:rsidR="000A39E0" w:rsidRPr="0065769D" w:rsidRDefault="000A39E0" w:rsidP="000A39E0">
      <w:pPr>
        <w:rPr>
          <w:sz w:val="20"/>
        </w:rPr>
      </w:pPr>
    </w:p>
    <w:p w14:paraId="40E02A9D" w14:textId="77777777" w:rsidR="000A39E0" w:rsidRPr="0065769D" w:rsidRDefault="000A39E0" w:rsidP="000A39E0">
      <w:pPr>
        <w:rPr>
          <w:sz w:val="20"/>
        </w:rPr>
      </w:pPr>
      <w:r w:rsidRPr="0065769D">
        <w:rPr>
          <w:sz w:val="20"/>
        </w:rPr>
        <w:t xml:space="preserve">For information about citing these materials or our Terms of Use, visit: </w:t>
      </w:r>
      <w:hyperlink r:id="rId11" w:history="1">
        <w:r w:rsidRPr="006F3AD2">
          <w:rPr>
            <w:rStyle w:val="Hyperlink"/>
            <w:sz w:val="20"/>
          </w:rPr>
          <w:t>https://ocw.mit.edu/terms</w:t>
        </w:r>
      </w:hyperlink>
      <w:r w:rsidRPr="0065769D">
        <w:rPr>
          <w:sz w:val="20"/>
        </w:rPr>
        <w:t xml:space="preserve">. </w:t>
      </w:r>
    </w:p>
    <w:p w14:paraId="72CF9F6D" w14:textId="77777777" w:rsidR="000A39E0" w:rsidRPr="003978CD" w:rsidRDefault="000A39E0" w:rsidP="000A39E0">
      <w:pPr>
        <w:rPr>
          <w:b/>
          <w:sz w:val="20"/>
        </w:rPr>
      </w:pPr>
    </w:p>
    <w:p w14:paraId="31530CD5" w14:textId="77777777" w:rsidR="000A39E0" w:rsidRDefault="000A39E0" w:rsidP="000A39E0">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p>
    <w:sectPr w:rsidR="000A39E0">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F678" w14:textId="77777777" w:rsidR="00DB3B29" w:rsidRDefault="00DB3B29">
      <w:pPr>
        <w:spacing w:line="240" w:lineRule="auto"/>
      </w:pPr>
      <w:r>
        <w:separator/>
      </w:r>
    </w:p>
  </w:endnote>
  <w:endnote w:type="continuationSeparator" w:id="0">
    <w:p w14:paraId="78DEBCFE" w14:textId="77777777" w:rsidR="00DB3B29" w:rsidRDefault="00DB3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4659" w14:textId="77777777" w:rsidR="006E3802" w:rsidRDefault="00F713FA">
    <w:pPr>
      <w:jc w:val="right"/>
    </w:pPr>
    <w:r>
      <w:fldChar w:fldCharType="begin"/>
    </w:r>
    <w:r>
      <w:instrText>PAGE</w:instrText>
    </w:r>
    <w:r>
      <w:fldChar w:fldCharType="separate"/>
    </w:r>
    <w:r w:rsidR="00DB3A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40A8" w14:textId="77777777" w:rsidR="00DB3B29" w:rsidRDefault="00DB3B29">
      <w:pPr>
        <w:spacing w:line="240" w:lineRule="auto"/>
      </w:pPr>
      <w:r>
        <w:separator/>
      </w:r>
    </w:p>
  </w:footnote>
  <w:footnote w:type="continuationSeparator" w:id="0">
    <w:p w14:paraId="1052ED21" w14:textId="77777777" w:rsidR="00DB3B29" w:rsidRDefault="00DB3B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5448"/>
    <w:multiLevelType w:val="multilevel"/>
    <w:tmpl w:val="4B7EA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54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02"/>
    <w:rsid w:val="000928B7"/>
    <w:rsid w:val="000A39E0"/>
    <w:rsid w:val="00304F1D"/>
    <w:rsid w:val="00380671"/>
    <w:rsid w:val="003E444D"/>
    <w:rsid w:val="00445901"/>
    <w:rsid w:val="004F7CDC"/>
    <w:rsid w:val="00517AED"/>
    <w:rsid w:val="00592F90"/>
    <w:rsid w:val="005B17F7"/>
    <w:rsid w:val="00665643"/>
    <w:rsid w:val="006B16A5"/>
    <w:rsid w:val="006E3802"/>
    <w:rsid w:val="006E3EE5"/>
    <w:rsid w:val="00774552"/>
    <w:rsid w:val="007D3F32"/>
    <w:rsid w:val="00804D67"/>
    <w:rsid w:val="00805B65"/>
    <w:rsid w:val="00976AAF"/>
    <w:rsid w:val="009C1C53"/>
    <w:rsid w:val="009F5A27"/>
    <w:rsid w:val="00A56480"/>
    <w:rsid w:val="00AB5F27"/>
    <w:rsid w:val="00AF12CD"/>
    <w:rsid w:val="00B47EE7"/>
    <w:rsid w:val="00B952B4"/>
    <w:rsid w:val="00BB47E3"/>
    <w:rsid w:val="00C368D8"/>
    <w:rsid w:val="00C7576B"/>
    <w:rsid w:val="00D643E1"/>
    <w:rsid w:val="00D80448"/>
    <w:rsid w:val="00D905F9"/>
    <w:rsid w:val="00DB0243"/>
    <w:rsid w:val="00DB3A67"/>
    <w:rsid w:val="00DB3B29"/>
    <w:rsid w:val="00F713F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D13F"/>
  <w15:docId w15:val="{7A4EF725-9E24-4726-9243-BAE41772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22E1"/>
    <w:pPr>
      <w:tabs>
        <w:tab w:val="center" w:pos="4680"/>
        <w:tab w:val="right" w:pos="9360"/>
      </w:tabs>
      <w:spacing w:line="240" w:lineRule="auto"/>
    </w:pPr>
  </w:style>
  <w:style w:type="character" w:customStyle="1" w:styleId="HeaderChar">
    <w:name w:val="Header Char"/>
    <w:basedOn w:val="DefaultParagraphFont"/>
    <w:link w:val="Header"/>
    <w:uiPriority w:val="99"/>
    <w:rsid w:val="00FE22E1"/>
  </w:style>
  <w:style w:type="paragraph" w:styleId="Footer">
    <w:name w:val="footer"/>
    <w:basedOn w:val="Normal"/>
    <w:link w:val="FooterChar"/>
    <w:uiPriority w:val="99"/>
    <w:unhideWhenUsed/>
    <w:rsid w:val="00FE22E1"/>
    <w:pPr>
      <w:tabs>
        <w:tab w:val="center" w:pos="4680"/>
        <w:tab w:val="right" w:pos="9360"/>
      </w:tabs>
      <w:spacing w:line="240" w:lineRule="auto"/>
    </w:pPr>
  </w:style>
  <w:style w:type="character" w:customStyle="1" w:styleId="FooterChar">
    <w:name w:val="Footer Char"/>
    <w:basedOn w:val="DefaultParagraphFont"/>
    <w:link w:val="Footer"/>
    <w:uiPriority w:val="99"/>
    <w:rsid w:val="00FE22E1"/>
  </w:style>
  <w:style w:type="character" w:styleId="CommentReference">
    <w:name w:val="annotation reference"/>
    <w:basedOn w:val="DefaultParagraphFont"/>
    <w:uiPriority w:val="99"/>
    <w:semiHidden/>
    <w:unhideWhenUsed/>
    <w:rsid w:val="009B2063"/>
    <w:rPr>
      <w:sz w:val="16"/>
      <w:szCs w:val="16"/>
    </w:rPr>
  </w:style>
  <w:style w:type="paragraph" w:styleId="CommentText">
    <w:name w:val="annotation text"/>
    <w:basedOn w:val="Normal"/>
    <w:link w:val="CommentTextChar"/>
    <w:uiPriority w:val="99"/>
    <w:unhideWhenUsed/>
    <w:rsid w:val="009B2063"/>
    <w:pPr>
      <w:spacing w:line="240" w:lineRule="auto"/>
    </w:pPr>
    <w:rPr>
      <w:sz w:val="20"/>
      <w:szCs w:val="20"/>
    </w:rPr>
  </w:style>
  <w:style w:type="character" w:customStyle="1" w:styleId="CommentTextChar">
    <w:name w:val="Comment Text Char"/>
    <w:basedOn w:val="DefaultParagraphFont"/>
    <w:link w:val="CommentText"/>
    <w:uiPriority w:val="99"/>
    <w:rsid w:val="009B2063"/>
    <w:rPr>
      <w:sz w:val="20"/>
      <w:szCs w:val="20"/>
    </w:rPr>
  </w:style>
  <w:style w:type="paragraph" w:styleId="CommentSubject">
    <w:name w:val="annotation subject"/>
    <w:basedOn w:val="CommentText"/>
    <w:next w:val="CommentText"/>
    <w:link w:val="CommentSubjectChar"/>
    <w:uiPriority w:val="99"/>
    <w:semiHidden/>
    <w:unhideWhenUsed/>
    <w:rsid w:val="009B2063"/>
    <w:rPr>
      <w:b/>
      <w:bCs/>
    </w:rPr>
  </w:style>
  <w:style w:type="character" w:customStyle="1" w:styleId="CommentSubjectChar">
    <w:name w:val="Comment Subject Char"/>
    <w:basedOn w:val="CommentTextChar"/>
    <w:link w:val="CommentSubject"/>
    <w:uiPriority w:val="99"/>
    <w:semiHidden/>
    <w:rsid w:val="009B2063"/>
    <w:rPr>
      <w:b/>
      <w:bCs/>
      <w:sz w:val="20"/>
      <w:szCs w:val="20"/>
    </w:rPr>
  </w:style>
  <w:style w:type="paragraph" w:styleId="ListParagraph">
    <w:name w:val="List Paragraph"/>
    <w:basedOn w:val="Normal"/>
    <w:uiPriority w:val="34"/>
    <w:qFormat/>
    <w:rsid w:val="00EA5482"/>
    <w:pPr>
      <w:ind w:left="720"/>
      <w:contextualSpacing/>
    </w:pPr>
  </w:style>
  <w:style w:type="paragraph" w:styleId="NormalWeb">
    <w:name w:val="Normal (Web)"/>
    <w:basedOn w:val="Normal"/>
    <w:uiPriority w:val="99"/>
    <w:unhideWhenUsed/>
    <w:rsid w:val="005579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F150E"/>
    <w:pPr>
      <w:spacing w:line="240" w:lineRule="auto"/>
    </w:pPr>
    <w:rPr>
      <w:sz w:val="20"/>
      <w:szCs w:val="20"/>
    </w:rPr>
  </w:style>
  <w:style w:type="character" w:customStyle="1" w:styleId="FootnoteTextChar">
    <w:name w:val="Footnote Text Char"/>
    <w:basedOn w:val="DefaultParagraphFont"/>
    <w:link w:val="FootnoteText"/>
    <w:uiPriority w:val="99"/>
    <w:semiHidden/>
    <w:rsid w:val="00DF150E"/>
    <w:rPr>
      <w:sz w:val="20"/>
      <w:szCs w:val="20"/>
    </w:rPr>
  </w:style>
  <w:style w:type="character" w:styleId="FootnoteReference">
    <w:name w:val="footnote reference"/>
    <w:basedOn w:val="DefaultParagraphFont"/>
    <w:uiPriority w:val="99"/>
    <w:semiHidden/>
    <w:unhideWhenUsed/>
    <w:rsid w:val="00DF150E"/>
    <w:rPr>
      <w:vertAlign w:val="superscript"/>
    </w:rPr>
  </w:style>
  <w:style w:type="character" w:styleId="Hyperlink">
    <w:name w:val="Hyperlink"/>
    <w:rsid w:val="000A3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w.mit.edu/terms" TargetMode="External"/><Relationship Id="rId5" Type="http://schemas.openxmlformats.org/officeDocument/2006/relationships/webSettings" Target="webSettings.xml"/><Relationship Id="rId10" Type="http://schemas.openxmlformats.org/officeDocument/2006/relationships/hyperlink" Target="https://ocw.mit.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7V976qLg7p4/UeV3sEnaM1ofDg==">AMUW2mWOjULv1IxSOG+eHpRijnVCOavA04VTFAu66ZkbZZ/Wzvy5qtjfP8cFb42JpdrfL7sdOevm1MUuCtUcWanBKDRi3gEqOYQ+PJW3jcEdqFo3Vj/hhzIDdjUQssHjqgZe2joVGVet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685</Words>
  <Characters>4232</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Lavi</dc:creator>
  <cp:lastModifiedBy>H. Sharon Lin</cp:lastModifiedBy>
  <cp:revision>30</cp:revision>
  <dcterms:created xsi:type="dcterms:W3CDTF">2023-08-13T12:40:00Z</dcterms:created>
  <dcterms:modified xsi:type="dcterms:W3CDTF">2026-06-09T22:45:00Z</dcterms:modified>
</cp:coreProperties>
</file>