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897A" w14:textId="77777777" w:rsidR="00AF16ED" w:rsidRDefault="00000000">
      <w:pPr>
        <w:spacing w:line="360" w:lineRule="auto"/>
        <w:jc w:val="center"/>
        <w:rPr>
          <w:b/>
          <w:sz w:val="24"/>
          <w:szCs w:val="24"/>
        </w:rPr>
      </w:pPr>
      <w:r>
        <w:rPr>
          <w:b/>
          <w:sz w:val="24"/>
          <w:szCs w:val="24"/>
        </w:rPr>
        <w:t>Preparation2 Article: Systems Thinking</w:t>
      </w:r>
    </w:p>
    <w:p w14:paraId="3554C7B1" w14:textId="77777777" w:rsidR="00AF16ED" w:rsidRDefault="00AF16ED">
      <w:pPr>
        <w:spacing w:line="360" w:lineRule="auto"/>
        <w:rPr>
          <w:sz w:val="24"/>
          <w:szCs w:val="24"/>
        </w:rPr>
      </w:pPr>
    </w:p>
    <w:p w14:paraId="107D97E3" w14:textId="77777777" w:rsidR="00AF16ED" w:rsidRDefault="00000000">
      <w:pPr>
        <w:spacing w:line="360" w:lineRule="auto"/>
        <w:rPr>
          <w:sz w:val="24"/>
          <w:szCs w:val="24"/>
        </w:rPr>
      </w:pPr>
      <w:r>
        <w:rPr>
          <w:sz w:val="24"/>
          <w:szCs w:val="24"/>
        </w:rPr>
        <w:t>Author: Rea Lavi</w:t>
      </w:r>
    </w:p>
    <w:p w14:paraId="3D3896FD" w14:textId="77777777" w:rsidR="00AF16ED" w:rsidRDefault="00AF16ED">
      <w:pPr>
        <w:spacing w:line="360" w:lineRule="auto"/>
        <w:rPr>
          <w:sz w:val="24"/>
          <w:szCs w:val="24"/>
        </w:rPr>
      </w:pPr>
    </w:p>
    <w:p w14:paraId="3F05323D" w14:textId="77777777" w:rsidR="00AF16ED" w:rsidRDefault="00000000">
      <w:pPr>
        <w:spacing w:line="360" w:lineRule="auto"/>
        <w:rPr>
          <w:b/>
          <w:sz w:val="24"/>
          <w:szCs w:val="24"/>
        </w:rPr>
      </w:pPr>
      <w:r>
        <w:rPr>
          <w:b/>
          <w:sz w:val="24"/>
          <w:szCs w:val="24"/>
        </w:rPr>
        <w:t xml:space="preserve">The Need for Systems Thinkers in Engineering </w:t>
      </w:r>
    </w:p>
    <w:p w14:paraId="45652F31" w14:textId="77777777" w:rsidR="00AF16ED" w:rsidRDefault="00000000">
      <w:pPr>
        <w:spacing w:line="360" w:lineRule="auto"/>
        <w:rPr>
          <w:sz w:val="24"/>
          <w:szCs w:val="24"/>
        </w:rPr>
      </w:pPr>
      <w:r>
        <w:rPr>
          <w:sz w:val="24"/>
          <w:szCs w:val="24"/>
        </w:rPr>
        <w:t>As systems are becoming more interconnected and complex, demand for engineers who possess systems thinking is also increasing</w:t>
      </w:r>
      <w:r>
        <w:rPr>
          <w:sz w:val="24"/>
          <w:szCs w:val="24"/>
          <w:vertAlign w:val="superscript"/>
        </w:rPr>
        <w:t>1</w:t>
      </w:r>
      <w:r>
        <w:rPr>
          <w:sz w:val="24"/>
          <w:szCs w:val="24"/>
        </w:rPr>
        <w:t>. The US National Research Council</w:t>
      </w:r>
      <w:r>
        <w:rPr>
          <w:sz w:val="24"/>
          <w:szCs w:val="24"/>
          <w:vertAlign w:val="superscript"/>
        </w:rPr>
        <w:t>2</w:t>
      </w:r>
      <w:r>
        <w:rPr>
          <w:sz w:val="24"/>
          <w:szCs w:val="24"/>
        </w:rPr>
        <w:t xml:space="preserve"> presented a framework for 21st century skills in science and engineering education—primary, secondary, and higher—which included systems thinking. Additionally, the ABET</w:t>
      </w:r>
      <w:r>
        <w:rPr>
          <w:sz w:val="24"/>
          <w:szCs w:val="24"/>
          <w:vertAlign w:val="superscript"/>
        </w:rPr>
        <w:t>3</w:t>
      </w:r>
      <w:r>
        <w:rPr>
          <w:sz w:val="24"/>
          <w:szCs w:val="24"/>
        </w:rPr>
        <w:t xml:space="preserve"> 2025-2026 criterion 3 (student outcomes) for accrediting engineering programs mentions students must have the ability to produce engineering solutions while considering factors which require a systems perspective, namely global, cultural, social, environmental, and economic factors. Another testament of the need for system thinkers is that critically important skills for science, technology, engineering, and mathematics (STEM) disciplines, taken from the US Labor Department database</w:t>
      </w:r>
      <w:r>
        <w:rPr>
          <w:sz w:val="24"/>
          <w:szCs w:val="24"/>
          <w:vertAlign w:val="superscript"/>
        </w:rPr>
        <w:t>4</w:t>
      </w:r>
      <w:r>
        <w:rPr>
          <w:sz w:val="24"/>
          <w:szCs w:val="24"/>
        </w:rPr>
        <w:t xml:space="preserve">, include systems analysis and systems evaluation. </w:t>
      </w:r>
    </w:p>
    <w:p w14:paraId="55D04D41" w14:textId="77777777" w:rsidR="00AF16ED" w:rsidRDefault="00AF16ED">
      <w:pPr>
        <w:spacing w:line="360" w:lineRule="auto"/>
        <w:rPr>
          <w:sz w:val="24"/>
          <w:szCs w:val="24"/>
        </w:rPr>
      </w:pPr>
    </w:p>
    <w:p w14:paraId="3330AA61" w14:textId="77777777" w:rsidR="00AF16ED" w:rsidRDefault="00000000">
      <w:pPr>
        <w:spacing w:line="360" w:lineRule="auto"/>
        <w:rPr>
          <w:sz w:val="24"/>
          <w:szCs w:val="24"/>
        </w:rPr>
      </w:pPr>
      <w:r>
        <w:rPr>
          <w:b/>
          <w:sz w:val="24"/>
          <w:szCs w:val="24"/>
        </w:rPr>
        <w:t>What is a Technological (engineered) System?</w:t>
      </w:r>
    </w:p>
    <w:p w14:paraId="6D051710" w14:textId="77777777" w:rsidR="00AF16ED" w:rsidRDefault="00000000">
      <w:pPr>
        <w:spacing w:line="360" w:lineRule="auto"/>
        <w:rPr>
          <w:sz w:val="24"/>
          <w:szCs w:val="24"/>
        </w:rPr>
      </w:pPr>
      <w:r>
        <w:rPr>
          <w:sz w:val="24"/>
          <w:szCs w:val="24"/>
        </w:rPr>
        <w:t>While the definition of system is a subject of rich, ongoing academic debate</w:t>
      </w:r>
      <w:r>
        <w:rPr>
          <w:sz w:val="24"/>
          <w:szCs w:val="24"/>
          <w:vertAlign w:val="superscript"/>
        </w:rPr>
        <w:t>5</w:t>
      </w:r>
      <w:r>
        <w:rPr>
          <w:sz w:val="24"/>
          <w:szCs w:val="24"/>
        </w:rPr>
        <w:t>, for the purposes of this class, we define a technological system, or system for short, as follows: a system is an entity composed of interacting parts. This entity delivers a predetermined function through its architecture, which is a combination of its structure and its behavior. The system’s function is realized through interactions of the system parts, both internally and with the system’s environment; these interactions can be explained by cause-and-effect relationships. Some whole-system properties vary from those of its individual parts. The purpose of a system is to deliver a predetermined benefit to specific group/s of humans—the system’s beneficiaries. The system’s purpose is achieved through its function</w:t>
      </w:r>
      <w:r>
        <w:rPr>
          <w:sz w:val="24"/>
          <w:szCs w:val="24"/>
          <w:vertAlign w:val="superscript"/>
        </w:rPr>
        <w:t>1,6-9</w:t>
      </w:r>
      <w:r>
        <w:rPr>
          <w:sz w:val="24"/>
          <w:szCs w:val="24"/>
        </w:rPr>
        <w:t>.</w:t>
      </w:r>
    </w:p>
    <w:p w14:paraId="7752BA1E" w14:textId="77777777" w:rsidR="00AF16ED" w:rsidRDefault="00AF16ED">
      <w:pPr>
        <w:spacing w:line="360" w:lineRule="auto"/>
        <w:rPr>
          <w:b/>
          <w:sz w:val="24"/>
          <w:szCs w:val="24"/>
        </w:rPr>
      </w:pPr>
    </w:p>
    <w:p w14:paraId="3BBB1419" w14:textId="77777777" w:rsidR="00AF16ED" w:rsidRDefault="00000000">
      <w:pPr>
        <w:spacing w:line="360" w:lineRule="auto"/>
        <w:rPr>
          <w:b/>
          <w:sz w:val="24"/>
          <w:szCs w:val="24"/>
        </w:rPr>
      </w:pPr>
      <w:r>
        <w:br w:type="page"/>
      </w:r>
    </w:p>
    <w:p w14:paraId="12FEDF06" w14:textId="77777777" w:rsidR="00AF16ED" w:rsidRDefault="00000000">
      <w:pPr>
        <w:spacing w:line="360" w:lineRule="auto"/>
        <w:rPr>
          <w:b/>
          <w:sz w:val="24"/>
          <w:szCs w:val="24"/>
        </w:rPr>
      </w:pPr>
      <w:r>
        <w:rPr>
          <w:b/>
          <w:sz w:val="24"/>
          <w:szCs w:val="24"/>
        </w:rPr>
        <w:lastRenderedPageBreak/>
        <w:t xml:space="preserve">What </w:t>
      </w:r>
      <w:proofErr w:type="gramStart"/>
      <w:r>
        <w:rPr>
          <w:b/>
          <w:sz w:val="24"/>
          <w:szCs w:val="24"/>
        </w:rPr>
        <w:t>is</w:t>
      </w:r>
      <w:proofErr w:type="gramEnd"/>
      <w:r>
        <w:rPr>
          <w:b/>
          <w:sz w:val="24"/>
          <w:szCs w:val="24"/>
        </w:rPr>
        <w:t xml:space="preserve"> Systems Thinking in Engineering?</w:t>
      </w:r>
    </w:p>
    <w:p w14:paraId="56BE97C9" w14:textId="77777777" w:rsidR="00AF16ED" w:rsidRDefault="00000000">
      <w:pPr>
        <w:spacing w:line="360" w:lineRule="auto"/>
        <w:rPr>
          <w:b/>
          <w:sz w:val="24"/>
          <w:szCs w:val="24"/>
        </w:rPr>
      </w:pPr>
      <w:r>
        <w:rPr>
          <w:sz w:val="24"/>
          <w:szCs w:val="24"/>
        </w:rPr>
        <w:t>Systems thinking is a higher-order thinking skill or set of skills which enable the identification, understanding, prediction, and improvement of every aspect of a technological system: purpose, function, structure, and behavior, and the way these aspects interrelate within the system</w:t>
      </w:r>
      <w:r>
        <w:rPr>
          <w:sz w:val="24"/>
          <w:szCs w:val="24"/>
          <w:vertAlign w:val="superscript"/>
        </w:rPr>
        <w:t>1,6-7</w:t>
      </w:r>
      <w:r>
        <w:rPr>
          <w:sz w:val="24"/>
          <w:szCs w:val="24"/>
        </w:rPr>
        <w:t>.</w:t>
      </w:r>
    </w:p>
    <w:p w14:paraId="68D1D31B" w14:textId="77777777" w:rsidR="00AF16ED" w:rsidRDefault="00AF16ED">
      <w:pPr>
        <w:spacing w:line="360" w:lineRule="auto"/>
        <w:rPr>
          <w:b/>
          <w:sz w:val="24"/>
          <w:szCs w:val="24"/>
        </w:rPr>
      </w:pPr>
    </w:p>
    <w:p w14:paraId="549CB1E3" w14:textId="77777777" w:rsidR="00AF16ED" w:rsidRDefault="00000000">
      <w:pPr>
        <w:spacing w:line="360" w:lineRule="auto"/>
        <w:rPr>
          <w:b/>
          <w:sz w:val="24"/>
          <w:szCs w:val="24"/>
        </w:rPr>
      </w:pPr>
      <w:r>
        <w:rPr>
          <w:b/>
          <w:sz w:val="24"/>
          <w:szCs w:val="24"/>
        </w:rPr>
        <w:t>The SAFO Framework: Systems Thinking for Technological Systems</w:t>
      </w:r>
    </w:p>
    <w:p w14:paraId="1A612DB4" w14:textId="77777777" w:rsidR="00AF16ED" w:rsidRDefault="00000000">
      <w:pPr>
        <w:spacing w:line="360" w:lineRule="auto"/>
        <w:jc w:val="both"/>
        <w:rPr>
          <w:sz w:val="24"/>
          <w:szCs w:val="24"/>
        </w:rPr>
      </w:pPr>
      <w:r>
        <w:rPr>
          <w:sz w:val="24"/>
          <w:szCs w:val="24"/>
        </w:rPr>
        <w:t xml:space="preserve">The </w:t>
      </w:r>
      <w:r>
        <w:rPr>
          <w:i/>
          <w:sz w:val="24"/>
          <w:szCs w:val="24"/>
        </w:rPr>
        <w:t>system architecture-function-outcome</w:t>
      </w:r>
      <w:r>
        <w:rPr>
          <w:sz w:val="24"/>
          <w:szCs w:val="24"/>
        </w:rPr>
        <w:t xml:space="preserve"> (SAFO) framework was designed for introducing first-year engineering students to systems thinking about technological systems in any domain. SAFO captures the definition of ‘system’ given above. Initial validations of the framework have been published in peer-reviewed works</w:t>
      </w:r>
      <w:r>
        <w:rPr>
          <w:sz w:val="24"/>
          <w:szCs w:val="24"/>
          <w:vertAlign w:val="superscript"/>
        </w:rPr>
        <w:t>10</w:t>
      </w:r>
      <w:r>
        <w:rPr>
          <w:sz w:val="24"/>
          <w:szCs w:val="24"/>
        </w:rPr>
        <w:t>.</w:t>
      </w:r>
    </w:p>
    <w:p w14:paraId="1D231CDF" w14:textId="77777777" w:rsidR="00AF16ED" w:rsidRDefault="00000000">
      <w:pPr>
        <w:spacing w:line="360" w:lineRule="auto"/>
        <w:ind w:firstLine="720"/>
        <w:jc w:val="both"/>
        <w:rPr>
          <w:sz w:val="24"/>
          <w:szCs w:val="24"/>
        </w:rPr>
      </w:pPr>
      <w:r>
        <w:rPr>
          <w:sz w:val="24"/>
          <w:szCs w:val="24"/>
        </w:rPr>
        <w:t>The framework uses distinct terms for the parts of a system (structure) and the relations &amp; interactions between those parts (behavior). This allows for making clear distinctions between static and dynamic parts of a technological system</w:t>
      </w:r>
      <w:r>
        <w:rPr>
          <w:sz w:val="24"/>
          <w:szCs w:val="24"/>
          <w:vertAlign w:val="superscript"/>
        </w:rPr>
        <w:t>7</w:t>
      </w:r>
      <w:r>
        <w:rPr>
          <w:sz w:val="24"/>
          <w:szCs w:val="24"/>
        </w:rPr>
        <w:t xml:space="preserve">. </w:t>
      </w:r>
    </w:p>
    <w:p w14:paraId="67175F9D" w14:textId="77777777" w:rsidR="00AF16ED" w:rsidRDefault="00000000">
      <w:pPr>
        <w:spacing w:line="360" w:lineRule="auto"/>
        <w:ind w:firstLine="720"/>
        <w:jc w:val="both"/>
        <w:rPr>
          <w:sz w:val="24"/>
          <w:szCs w:val="24"/>
        </w:rPr>
      </w:pPr>
      <w:r>
        <w:rPr>
          <w:sz w:val="24"/>
          <w:szCs w:val="24"/>
        </w:rPr>
        <w:t>SAFO also distinguishes between a system’s</w:t>
      </w:r>
      <w:r>
        <w:rPr>
          <w:i/>
          <w:sz w:val="24"/>
          <w:szCs w:val="24"/>
        </w:rPr>
        <w:t xml:space="preserve"> function</w:t>
      </w:r>
      <w:r>
        <w:rPr>
          <w:sz w:val="24"/>
          <w:szCs w:val="24"/>
        </w:rPr>
        <w:t xml:space="preserve"> and its </w:t>
      </w:r>
      <w:r>
        <w:rPr>
          <w:i/>
          <w:sz w:val="24"/>
          <w:szCs w:val="24"/>
        </w:rPr>
        <w:t xml:space="preserve">outcome </w:t>
      </w:r>
      <w:r>
        <w:rPr>
          <w:sz w:val="24"/>
          <w:szCs w:val="24"/>
        </w:rPr>
        <w:t>(</w:t>
      </w:r>
      <w:proofErr w:type="gramStart"/>
      <w:r>
        <w:rPr>
          <w:sz w:val="24"/>
          <w:szCs w:val="24"/>
        </w:rPr>
        <w:t>similar to</w:t>
      </w:r>
      <w:proofErr w:type="gramEnd"/>
      <w:r>
        <w:rPr>
          <w:sz w:val="24"/>
          <w:szCs w:val="24"/>
        </w:rPr>
        <w:t xml:space="preserve"> </w:t>
      </w:r>
      <w:r>
        <w:rPr>
          <w:i/>
          <w:sz w:val="24"/>
          <w:szCs w:val="24"/>
        </w:rPr>
        <w:t>purpose</w:t>
      </w:r>
      <w:r>
        <w:rPr>
          <w:sz w:val="24"/>
          <w:szCs w:val="24"/>
        </w:rPr>
        <w:t xml:space="preserve">), both emergent aspects of technological systems. While </w:t>
      </w:r>
      <w:r>
        <w:rPr>
          <w:i/>
          <w:sz w:val="24"/>
          <w:szCs w:val="24"/>
        </w:rPr>
        <w:t>function</w:t>
      </w:r>
      <w:r>
        <w:rPr>
          <w:sz w:val="24"/>
          <w:szCs w:val="24"/>
        </w:rPr>
        <w:t xml:space="preserve"> represents the interaction of the system (as a whole) with other entities or systems (technological or otherwise) in its immediate environment, </w:t>
      </w:r>
      <w:r>
        <w:rPr>
          <w:i/>
          <w:sz w:val="24"/>
          <w:szCs w:val="24"/>
        </w:rPr>
        <w:t>outcome</w:t>
      </w:r>
      <w:r>
        <w:rPr>
          <w:sz w:val="24"/>
          <w:szCs w:val="24"/>
        </w:rPr>
        <w:t xml:space="preserve"> represents the effect of the system function on people. The system outcome in SAFO includes the problem being solved by the system’s intended function as well as the group/s of people affected by it, thus explicitly including the human element in the description of a technological system.</w:t>
      </w:r>
    </w:p>
    <w:p w14:paraId="06BC0A9E" w14:textId="77777777" w:rsidR="00AF16ED" w:rsidRDefault="00000000">
      <w:pPr>
        <w:spacing w:line="360" w:lineRule="auto"/>
        <w:ind w:firstLine="720"/>
        <w:jc w:val="both"/>
        <w:rPr>
          <w:sz w:val="24"/>
          <w:szCs w:val="24"/>
        </w:rPr>
      </w:pPr>
      <w:r>
        <w:rPr>
          <w:sz w:val="24"/>
          <w:szCs w:val="24"/>
        </w:rPr>
        <w:t>SAFO’s simplicity, coupled with its capturing of the essential aspects of technological systems, allows for the description and improvement of technological systems and for the assessment of conceptual understanding and of personal attitudes concerning these systems. It should be noted that as an introductory framework meant for first-year engineering students, the SAFO framework does not address attributes of system complexity</w:t>
      </w:r>
      <w:r>
        <w:rPr>
          <w:sz w:val="24"/>
          <w:szCs w:val="24"/>
          <w:vertAlign w:val="superscript"/>
        </w:rPr>
        <w:t>11</w:t>
      </w:r>
      <w:r>
        <w:rPr>
          <w:sz w:val="24"/>
          <w:szCs w:val="24"/>
        </w:rPr>
        <w:t xml:space="preserve">. </w:t>
      </w:r>
    </w:p>
    <w:p w14:paraId="76EFF72F" w14:textId="77777777" w:rsidR="00AF16ED" w:rsidRDefault="00000000">
      <w:pPr>
        <w:spacing w:line="360" w:lineRule="auto"/>
        <w:ind w:firstLine="720"/>
        <w:jc w:val="both"/>
        <w:rPr>
          <w:sz w:val="24"/>
          <w:szCs w:val="24"/>
        </w:rPr>
      </w:pPr>
      <w:r>
        <w:rPr>
          <w:sz w:val="24"/>
          <w:szCs w:val="24"/>
        </w:rPr>
        <w:t>Figure 1 shows the aspects and components which comprise the SAFO framework for technological systems.</w:t>
      </w:r>
    </w:p>
    <w:p w14:paraId="6EEAB138" w14:textId="77777777" w:rsidR="00AF16ED" w:rsidRDefault="00AF16ED">
      <w:pPr>
        <w:spacing w:line="360" w:lineRule="auto"/>
        <w:ind w:firstLine="720"/>
        <w:jc w:val="center"/>
        <w:rPr>
          <w:sz w:val="24"/>
          <w:szCs w:val="24"/>
        </w:rPr>
      </w:pPr>
    </w:p>
    <w:p w14:paraId="3C9DA7CE" w14:textId="77777777" w:rsidR="00AF16ED" w:rsidRDefault="00000000">
      <w:pPr>
        <w:spacing w:line="360" w:lineRule="auto"/>
        <w:jc w:val="both"/>
        <w:rPr>
          <w:sz w:val="24"/>
          <w:szCs w:val="24"/>
        </w:rPr>
      </w:pPr>
      <w:r>
        <w:br w:type="page"/>
      </w:r>
    </w:p>
    <w:p w14:paraId="073B6A6C" w14:textId="77777777" w:rsidR="00AF16ED" w:rsidRDefault="00000000">
      <w:pPr>
        <w:spacing w:line="240" w:lineRule="auto"/>
        <w:jc w:val="center"/>
        <w:rPr>
          <w:sz w:val="24"/>
          <w:szCs w:val="24"/>
        </w:rPr>
      </w:pPr>
      <w:r>
        <w:rPr>
          <w:noProof/>
        </w:rPr>
        <w:lastRenderedPageBreak/>
        <w:drawing>
          <wp:anchor distT="114300" distB="114300" distL="114300" distR="114300" simplePos="0" relativeHeight="251658240" behindDoc="1" locked="0" layoutInCell="1" hidden="0" allowOverlap="1" wp14:anchorId="7023E09F" wp14:editId="2B6D2BE0">
            <wp:simplePos x="0" y="0"/>
            <wp:positionH relativeFrom="column">
              <wp:posOffset>114300</wp:posOffset>
            </wp:positionH>
            <wp:positionV relativeFrom="paragraph">
              <wp:posOffset>114300</wp:posOffset>
            </wp:positionV>
            <wp:extent cx="5943600" cy="2578100"/>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5781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1638EA73" wp14:editId="2086E87D">
                <wp:simplePos x="0" y="0"/>
                <wp:positionH relativeFrom="column">
                  <wp:posOffset>7861300</wp:posOffset>
                </wp:positionH>
                <wp:positionV relativeFrom="paragraph">
                  <wp:posOffset>2489200</wp:posOffset>
                </wp:positionV>
                <wp:extent cx="6115050" cy="357604"/>
                <wp:effectExtent l="0" t="0" r="0" b="0"/>
                <wp:wrapNone/>
                <wp:docPr id="31" name="Rectangle 31"/>
                <wp:cNvGraphicFramePr/>
                <a:graphic xmlns:a="http://schemas.openxmlformats.org/drawingml/2006/main">
                  <a:graphicData uri="http://schemas.microsoft.com/office/word/2010/wordprocessingShape">
                    <wps:wsp>
                      <wps:cNvSpPr/>
                      <wps:spPr>
                        <a:xfrm>
                          <a:off x="2298000" y="3610723"/>
                          <a:ext cx="6096000" cy="338554"/>
                        </a:xfrm>
                        <a:prstGeom prst="rect">
                          <a:avLst/>
                        </a:prstGeom>
                        <a:noFill/>
                        <a:ln>
                          <a:noFill/>
                        </a:ln>
                      </wps:spPr>
                      <wps:txbx>
                        <w:txbxContent>
                          <w:p w14:paraId="49A87325" w14:textId="77777777" w:rsidR="00AF16ED" w:rsidRDefault="00000000">
                            <w:pPr>
                              <w:spacing w:line="240" w:lineRule="auto"/>
                              <w:textDirection w:val="btLr"/>
                            </w:pPr>
                            <w:r>
                              <w:rPr>
                                <w:rFonts w:ascii="Cambria" w:eastAsia="Cambria" w:hAnsi="Cambria" w:cs="Cambria"/>
                                <w:color w:val="000000"/>
                                <w:sz w:val="32"/>
                              </w:rPr>
                              <w:t>** Boundary systems do not have to be technological.</w:t>
                            </w:r>
                          </w:p>
                        </w:txbxContent>
                      </wps:txbx>
                      <wps:bodyPr spcFirstLastPara="1" wrap="square" lIns="91425" tIns="45700" rIns="91425" bIns="45700" anchor="t" anchorCtr="0">
                        <a:noAutofit/>
                      </wps:bodyPr>
                    </wps:wsp>
                  </a:graphicData>
                </a:graphic>
              </wp:anchor>
            </w:drawing>
          </mc:Choice>
          <mc:Fallback>
            <w:pict>
              <v:rect w14:anchorId="1638EA73" id="Rectangle 31" o:spid="_x0000_s1026" style="position:absolute;left:0;text-align:left;margin-left:619pt;margin-top:196pt;width:481.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" filled="f" stroked="f">
                <v:textbox inset="2.53958mm,1.2694mm,2.53958mm,1.2694mm">
                  <w:txbxContent>
                    <w:p w14:paraId="49A87325" w14:textId="77777777" w:rsidR="00AF16ED" w:rsidRDefault="00000000">
                      <w:pPr>
                        <w:spacing w:line="240" w:lineRule="auto"/>
                        <w:textDirection w:val="btLr"/>
                      </w:pPr>
                      <w:r>
                        <w:rPr>
                          <w:rFonts w:ascii="Cambria" w:eastAsia="Cambria" w:hAnsi="Cambria" w:cs="Cambria"/>
                          <w:color w:val="000000"/>
                          <w:sz w:val="32"/>
                        </w:rPr>
                        <w:t>** Boundary systems do not have to be technological.</w:t>
                      </w:r>
                    </w:p>
                  </w:txbxContent>
                </v:textbox>
              </v:rect>
            </w:pict>
          </mc:Fallback>
        </mc:AlternateContent>
      </w:r>
    </w:p>
    <w:p w14:paraId="0D6E69E2" w14:textId="77777777" w:rsidR="00AF16ED" w:rsidRDefault="00AF16ED">
      <w:pPr>
        <w:spacing w:line="240" w:lineRule="auto"/>
        <w:jc w:val="center"/>
        <w:rPr>
          <w:sz w:val="24"/>
          <w:szCs w:val="24"/>
        </w:rPr>
      </w:pPr>
    </w:p>
    <w:p w14:paraId="5FE0C2DD" w14:textId="77777777" w:rsidR="00AF16ED" w:rsidRDefault="00AF16ED">
      <w:pPr>
        <w:spacing w:line="240" w:lineRule="auto"/>
        <w:jc w:val="center"/>
        <w:rPr>
          <w:sz w:val="24"/>
          <w:szCs w:val="24"/>
        </w:rPr>
      </w:pPr>
    </w:p>
    <w:p w14:paraId="4CA0883A" w14:textId="77777777" w:rsidR="00AF16ED" w:rsidRDefault="00AF16ED">
      <w:pPr>
        <w:spacing w:line="240" w:lineRule="auto"/>
        <w:jc w:val="center"/>
        <w:rPr>
          <w:sz w:val="24"/>
          <w:szCs w:val="24"/>
        </w:rPr>
      </w:pPr>
    </w:p>
    <w:p w14:paraId="45970125" w14:textId="77777777" w:rsidR="00AF16ED" w:rsidRDefault="00AF16ED">
      <w:pPr>
        <w:spacing w:line="240" w:lineRule="auto"/>
        <w:jc w:val="center"/>
        <w:rPr>
          <w:sz w:val="24"/>
          <w:szCs w:val="24"/>
        </w:rPr>
      </w:pPr>
    </w:p>
    <w:p w14:paraId="4D13CDBE" w14:textId="77777777" w:rsidR="00AF16ED" w:rsidRDefault="00AF16ED">
      <w:pPr>
        <w:spacing w:line="240" w:lineRule="auto"/>
        <w:jc w:val="center"/>
        <w:rPr>
          <w:sz w:val="24"/>
          <w:szCs w:val="24"/>
        </w:rPr>
      </w:pPr>
    </w:p>
    <w:p w14:paraId="0BC8E20B" w14:textId="77777777" w:rsidR="00AF16ED" w:rsidRDefault="00AF16ED">
      <w:pPr>
        <w:spacing w:line="240" w:lineRule="auto"/>
        <w:jc w:val="center"/>
        <w:rPr>
          <w:sz w:val="24"/>
          <w:szCs w:val="24"/>
        </w:rPr>
      </w:pPr>
    </w:p>
    <w:p w14:paraId="349488AD" w14:textId="77777777" w:rsidR="00AF16ED" w:rsidRDefault="00AF16ED">
      <w:pPr>
        <w:spacing w:line="240" w:lineRule="auto"/>
        <w:jc w:val="center"/>
        <w:rPr>
          <w:sz w:val="24"/>
          <w:szCs w:val="24"/>
        </w:rPr>
      </w:pPr>
    </w:p>
    <w:p w14:paraId="414C3608" w14:textId="77777777" w:rsidR="00AF16ED" w:rsidRDefault="00AF16ED">
      <w:pPr>
        <w:spacing w:line="240" w:lineRule="auto"/>
        <w:jc w:val="center"/>
        <w:rPr>
          <w:sz w:val="24"/>
          <w:szCs w:val="24"/>
        </w:rPr>
      </w:pPr>
    </w:p>
    <w:p w14:paraId="23C19AF0" w14:textId="77777777" w:rsidR="00AF16ED" w:rsidRDefault="00AF16ED">
      <w:pPr>
        <w:spacing w:line="240" w:lineRule="auto"/>
        <w:jc w:val="center"/>
        <w:rPr>
          <w:sz w:val="24"/>
          <w:szCs w:val="24"/>
        </w:rPr>
      </w:pPr>
    </w:p>
    <w:p w14:paraId="5561AE58" w14:textId="77777777" w:rsidR="00AF16ED" w:rsidRDefault="00AF16ED">
      <w:pPr>
        <w:spacing w:line="240" w:lineRule="auto"/>
        <w:jc w:val="center"/>
        <w:rPr>
          <w:sz w:val="24"/>
          <w:szCs w:val="24"/>
        </w:rPr>
      </w:pPr>
    </w:p>
    <w:p w14:paraId="1F6A58E9" w14:textId="77777777" w:rsidR="00AF16ED" w:rsidRDefault="00AF16ED">
      <w:pPr>
        <w:spacing w:line="240" w:lineRule="auto"/>
        <w:jc w:val="center"/>
        <w:rPr>
          <w:sz w:val="24"/>
          <w:szCs w:val="24"/>
        </w:rPr>
      </w:pPr>
    </w:p>
    <w:p w14:paraId="4DE1AE8C" w14:textId="77777777" w:rsidR="00AF16ED" w:rsidRDefault="00AF16ED">
      <w:pPr>
        <w:spacing w:line="240" w:lineRule="auto"/>
        <w:jc w:val="center"/>
        <w:rPr>
          <w:sz w:val="24"/>
          <w:szCs w:val="24"/>
        </w:rPr>
      </w:pPr>
    </w:p>
    <w:p w14:paraId="65F20AC5" w14:textId="77777777" w:rsidR="00AF16ED" w:rsidRDefault="00AF16ED">
      <w:pPr>
        <w:spacing w:line="240" w:lineRule="auto"/>
        <w:jc w:val="center"/>
        <w:rPr>
          <w:sz w:val="24"/>
          <w:szCs w:val="24"/>
        </w:rPr>
      </w:pPr>
    </w:p>
    <w:p w14:paraId="11942693" w14:textId="77777777" w:rsidR="00AF16ED" w:rsidRDefault="00AF16ED">
      <w:pPr>
        <w:spacing w:line="240" w:lineRule="auto"/>
        <w:jc w:val="center"/>
        <w:rPr>
          <w:sz w:val="24"/>
          <w:szCs w:val="24"/>
        </w:rPr>
      </w:pPr>
    </w:p>
    <w:p w14:paraId="7B98844E" w14:textId="77777777" w:rsidR="00AF16ED" w:rsidRDefault="00AF16ED">
      <w:pPr>
        <w:spacing w:line="240" w:lineRule="auto"/>
        <w:jc w:val="center"/>
        <w:rPr>
          <w:sz w:val="24"/>
          <w:szCs w:val="24"/>
        </w:rPr>
      </w:pPr>
    </w:p>
    <w:p w14:paraId="2518994D" w14:textId="77777777" w:rsidR="00AF16ED" w:rsidRDefault="00000000">
      <w:pPr>
        <w:spacing w:line="240" w:lineRule="auto"/>
        <w:jc w:val="center"/>
        <w:rPr>
          <w:sz w:val="24"/>
          <w:szCs w:val="24"/>
        </w:rPr>
      </w:pPr>
      <w:r>
        <w:rPr>
          <w:sz w:val="24"/>
          <w:szCs w:val="24"/>
        </w:rPr>
        <w:t xml:space="preserve">Figure 1. The </w:t>
      </w:r>
      <w:r>
        <w:rPr>
          <w:i/>
          <w:sz w:val="24"/>
          <w:szCs w:val="24"/>
        </w:rPr>
        <w:t xml:space="preserve">System Architecture-Function-Outcome </w:t>
      </w:r>
      <w:r>
        <w:rPr>
          <w:sz w:val="24"/>
          <w:szCs w:val="24"/>
        </w:rPr>
        <w:t>framework overview.</w:t>
      </w:r>
    </w:p>
    <w:p w14:paraId="3BBDE747" w14:textId="77777777" w:rsidR="00AF16ED" w:rsidRDefault="00AF16ED">
      <w:pPr>
        <w:spacing w:line="360" w:lineRule="auto"/>
        <w:jc w:val="both"/>
        <w:rPr>
          <w:sz w:val="24"/>
          <w:szCs w:val="24"/>
        </w:rPr>
      </w:pPr>
    </w:p>
    <w:p w14:paraId="7F5E737E" w14:textId="77777777" w:rsidR="00AF16ED" w:rsidRDefault="00000000">
      <w:pPr>
        <w:spacing w:line="360" w:lineRule="auto"/>
        <w:jc w:val="both"/>
        <w:rPr>
          <w:sz w:val="24"/>
          <w:szCs w:val="24"/>
        </w:rPr>
      </w:pPr>
      <w:r>
        <w:br w:type="page"/>
      </w:r>
    </w:p>
    <w:p w14:paraId="6581ADC5" w14:textId="77777777" w:rsidR="00AF16ED" w:rsidRDefault="00000000">
      <w:pPr>
        <w:spacing w:line="360" w:lineRule="auto"/>
        <w:jc w:val="both"/>
        <w:rPr>
          <w:sz w:val="24"/>
          <w:szCs w:val="24"/>
        </w:rPr>
      </w:pPr>
      <w:r>
        <w:rPr>
          <w:sz w:val="24"/>
          <w:szCs w:val="24"/>
        </w:rPr>
        <w:lastRenderedPageBreak/>
        <w:t>Figures 2 and 3 describe a bicycle using the SAFO framework.</w:t>
      </w:r>
    </w:p>
    <w:p w14:paraId="3AF4484A" w14:textId="77777777" w:rsidR="00AF16ED" w:rsidRDefault="00AF16ED">
      <w:pPr>
        <w:spacing w:line="360" w:lineRule="auto"/>
        <w:jc w:val="both"/>
        <w:rPr>
          <w:sz w:val="24"/>
          <w:szCs w:val="24"/>
        </w:rPr>
      </w:pPr>
    </w:p>
    <w:p w14:paraId="48862409" w14:textId="77777777" w:rsidR="00AF16ED" w:rsidRDefault="00000000">
      <w:pPr>
        <w:spacing w:line="360" w:lineRule="auto"/>
        <w:jc w:val="center"/>
        <w:rPr>
          <w:sz w:val="24"/>
          <w:szCs w:val="24"/>
        </w:rPr>
      </w:pPr>
      <w:r>
        <w:rPr>
          <w:noProof/>
          <w:sz w:val="24"/>
          <w:szCs w:val="24"/>
        </w:rPr>
        <w:drawing>
          <wp:inline distT="19050" distB="19050" distL="19050" distR="19050" wp14:anchorId="7291CB6A" wp14:editId="5E3590B3">
            <wp:extent cx="3587650" cy="5481638"/>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587650" cy="5481638"/>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47FD1225" wp14:editId="52ADFD97">
                <wp:simplePos x="0" y="0"/>
                <wp:positionH relativeFrom="column">
                  <wp:posOffset>6972300</wp:posOffset>
                </wp:positionH>
                <wp:positionV relativeFrom="paragraph">
                  <wp:posOffset>1600200</wp:posOffset>
                </wp:positionV>
                <wp:extent cx="3531466" cy="336352"/>
                <wp:effectExtent l="0" t="0" r="0" b="0"/>
                <wp:wrapNone/>
                <wp:docPr id="32" name="Rectangle 32"/>
                <wp:cNvGraphicFramePr/>
                <a:graphic xmlns:a="http://schemas.openxmlformats.org/drawingml/2006/main">
                  <a:graphicData uri="http://schemas.microsoft.com/office/word/2010/wordprocessingShape">
                    <wps:wsp>
                      <wps:cNvSpPr/>
                      <wps:spPr>
                        <a:xfrm>
                          <a:off x="3594555" y="3626112"/>
                          <a:ext cx="3502891" cy="307777"/>
                        </a:xfrm>
                        <a:prstGeom prst="rect">
                          <a:avLst/>
                        </a:prstGeom>
                        <a:noFill/>
                        <a:ln>
                          <a:noFill/>
                        </a:ln>
                      </wps:spPr>
                      <wps:txbx>
                        <w:txbxContent>
                          <w:p w14:paraId="2D82BA16" w14:textId="77777777" w:rsidR="00AF16ED" w:rsidRDefault="00000000">
                            <w:pPr>
                              <w:spacing w:line="275" w:lineRule="auto"/>
                              <w:jc w:val="center"/>
                              <w:textDirection w:val="btLr"/>
                            </w:pPr>
                            <w:r>
                              <w:rPr>
                                <w:rFonts w:ascii="Cambria" w:eastAsia="Cambria" w:hAnsi="Cambria" w:cs="Cambria"/>
                                <w:color w:val="FF0000"/>
                                <w:sz w:val="20"/>
                              </w:rPr>
                              <w:t>Wheel rolls on Road Network</w:t>
                            </w:r>
                          </w:p>
                        </w:txbxContent>
                      </wps:txbx>
                      <wps:bodyPr spcFirstLastPara="1" wrap="square" lIns="91425" tIns="45700" rIns="91425" bIns="45700" anchor="t" anchorCtr="0">
                        <a:noAutofit/>
                      </wps:bodyPr>
                    </wps:wsp>
                  </a:graphicData>
                </a:graphic>
              </wp:anchor>
            </w:drawing>
          </mc:Choice>
          <mc:Fallback>
            <w:pict>
              <v:rect w14:anchorId="47FD1225" id="Rectangle 32" o:spid="_x0000_s1027" style="position:absolute;left:0;text-align:left;margin-left:549pt;margin-top:126pt;width:278.05pt;height: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" filled="f" stroked="f">
                <v:textbox inset="2.53958mm,1.2694mm,2.53958mm,1.2694mm">
                  <w:txbxContent>
                    <w:p w14:paraId="2D82BA16" w14:textId="77777777" w:rsidR="00AF16ED" w:rsidRDefault="00000000">
                      <w:pPr>
                        <w:spacing w:line="275" w:lineRule="auto"/>
                        <w:jc w:val="center"/>
                        <w:textDirection w:val="btLr"/>
                      </w:pPr>
                      <w:r>
                        <w:rPr>
                          <w:rFonts w:ascii="Cambria" w:eastAsia="Cambria" w:hAnsi="Cambria" w:cs="Cambria"/>
                          <w:color w:val="FF0000"/>
                          <w:sz w:val="20"/>
                        </w:rPr>
                        <w:t>Wheel rolls on Road Network</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7E67620" wp14:editId="5F4E9585">
                <wp:simplePos x="0" y="0"/>
                <wp:positionH relativeFrom="column">
                  <wp:posOffset>7835900</wp:posOffset>
                </wp:positionH>
                <wp:positionV relativeFrom="paragraph">
                  <wp:posOffset>3213100</wp:posOffset>
                </wp:positionV>
                <wp:extent cx="2644775" cy="551795"/>
                <wp:effectExtent l="0" t="0" r="0" b="0"/>
                <wp:wrapNone/>
                <wp:docPr id="33" name="Rectangle 33"/>
                <wp:cNvGraphicFramePr/>
                <a:graphic xmlns:a="http://schemas.openxmlformats.org/drawingml/2006/main">
                  <a:graphicData uri="http://schemas.microsoft.com/office/word/2010/wordprocessingShape">
                    <wps:wsp>
                      <wps:cNvSpPr/>
                      <wps:spPr>
                        <a:xfrm>
                          <a:off x="4037900" y="3518390"/>
                          <a:ext cx="2616200" cy="523220"/>
                        </a:xfrm>
                        <a:prstGeom prst="rect">
                          <a:avLst/>
                        </a:prstGeom>
                        <a:noFill/>
                        <a:ln>
                          <a:noFill/>
                        </a:ln>
                      </wps:spPr>
                      <wps:txbx>
                        <w:txbxContent>
                          <w:p w14:paraId="565C67A4" w14:textId="77777777" w:rsidR="00AF16ED" w:rsidRDefault="00000000">
                            <w:pPr>
                              <w:spacing w:line="275" w:lineRule="auto"/>
                              <w:jc w:val="center"/>
                              <w:textDirection w:val="btLr"/>
                            </w:pPr>
                            <w:r>
                              <w:rPr>
                                <w:rFonts w:ascii="Cambria" w:eastAsia="Cambria" w:hAnsi="Cambria" w:cs="Cambria"/>
                                <w:color w:val="FF0000"/>
                                <w:sz w:val="20"/>
                              </w:rPr>
                              <w:t>Increased risk to pedestrians on pavements</w:t>
                            </w:r>
                          </w:p>
                        </w:txbxContent>
                      </wps:txbx>
                      <wps:bodyPr spcFirstLastPara="1" wrap="square" lIns="91425" tIns="45700" rIns="91425" bIns="45700" anchor="t" anchorCtr="0">
                        <a:noAutofit/>
                      </wps:bodyPr>
                    </wps:wsp>
                  </a:graphicData>
                </a:graphic>
              </wp:anchor>
            </w:drawing>
          </mc:Choice>
          <mc:Fallback>
            <w:pict>
              <v:rect w14:anchorId="77E67620" id="Rectangle 33" o:spid="_x0000_s1028" style="position:absolute;left:0;text-align:left;margin-left:617pt;margin-top:253pt;width:208.25pt;height:4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" filled="f" stroked="f">
                <v:textbox inset="2.53958mm,1.2694mm,2.53958mm,1.2694mm">
                  <w:txbxContent>
                    <w:p w14:paraId="565C67A4" w14:textId="77777777" w:rsidR="00AF16ED" w:rsidRDefault="00000000">
                      <w:pPr>
                        <w:spacing w:line="275" w:lineRule="auto"/>
                        <w:jc w:val="center"/>
                        <w:textDirection w:val="btLr"/>
                      </w:pPr>
                      <w:r>
                        <w:rPr>
                          <w:rFonts w:ascii="Cambria" w:eastAsia="Cambria" w:hAnsi="Cambria" w:cs="Cambria"/>
                          <w:color w:val="FF0000"/>
                          <w:sz w:val="20"/>
                        </w:rPr>
                        <w:t>Increased risk to pedestrians on pavements</w:t>
                      </w:r>
                    </w:p>
                  </w:txbxContent>
                </v:textbox>
              </v:rect>
            </w:pict>
          </mc:Fallback>
        </mc:AlternateContent>
      </w:r>
    </w:p>
    <w:p w14:paraId="5D214F59" w14:textId="77777777" w:rsidR="00AF16ED" w:rsidRDefault="00000000">
      <w:pPr>
        <w:spacing w:line="240" w:lineRule="auto"/>
        <w:jc w:val="center"/>
        <w:rPr>
          <w:sz w:val="24"/>
          <w:szCs w:val="24"/>
        </w:rPr>
      </w:pPr>
      <w:r>
        <w:rPr>
          <w:sz w:val="24"/>
          <w:szCs w:val="24"/>
        </w:rPr>
        <w:t xml:space="preserve">Figure 2. The </w:t>
      </w:r>
      <w:r>
        <w:rPr>
          <w:i/>
          <w:sz w:val="24"/>
          <w:szCs w:val="24"/>
        </w:rPr>
        <w:t xml:space="preserve">System Architecture-Function-Outcome </w:t>
      </w:r>
      <w:r>
        <w:rPr>
          <w:sz w:val="24"/>
          <w:szCs w:val="24"/>
        </w:rPr>
        <w:t>framework applied to a bicycle, showing the system’s architecture and function. Red borders: system of interest. Blue borders: boundary system.</w:t>
      </w:r>
    </w:p>
    <w:p w14:paraId="61EE009E" w14:textId="77777777" w:rsidR="00AF16ED" w:rsidRDefault="00AF16ED">
      <w:pPr>
        <w:spacing w:line="240" w:lineRule="auto"/>
        <w:rPr>
          <w:sz w:val="24"/>
          <w:szCs w:val="24"/>
        </w:rPr>
      </w:pPr>
    </w:p>
    <w:p w14:paraId="029A8DD6" w14:textId="77777777" w:rsidR="00AF16ED" w:rsidRDefault="00000000">
      <w:pPr>
        <w:spacing w:line="240" w:lineRule="auto"/>
        <w:jc w:val="center"/>
        <w:rPr>
          <w:sz w:val="24"/>
          <w:szCs w:val="24"/>
        </w:rPr>
      </w:pPr>
      <w:r>
        <w:br w:type="page"/>
      </w:r>
    </w:p>
    <w:p w14:paraId="7E3FF573" w14:textId="77777777" w:rsidR="00AF16ED" w:rsidRDefault="00000000">
      <w:pPr>
        <w:spacing w:line="240" w:lineRule="auto"/>
        <w:jc w:val="center"/>
        <w:rPr>
          <w:sz w:val="24"/>
          <w:szCs w:val="24"/>
        </w:rPr>
      </w:pPr>
      <w:r>
        <w:rPr>
          <w:noProof/>
          <w:sz w:val="24"/>
          <w:szCs w:val="24"/>
        </w:rPr>
        <w:lastRenderedPageBreak/>
        <w:drawing>
          <wp:inline distT="114300" distB="114300" distL="114300" distR="114300" wp14:anchorId="64CAFEBC" wp14:editId="5A9B4FF5">
            <wp:extent cx="5943600" cy="3035300"/>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943600" cy="3035300"/>
                    </a:xfrm>
                    <a:prstGeom prst="rect">
                      <a:avLst/>
                    </a:prstGeom>
                    <a:ln/>
                  </pic:spPr>
                </pic:pic>
              </a:graphicData>
            </a:graphic>
          </wp:inline>
        </w:drawing>
      </w:r>
    </w:p>
    <w:p w14:paraId="76B82B25" w14:textId="77777777" w:rsidR="00AF16ED" w:rsidRDefault="00000000">
      <w:pPr>
        <w:spacing w:line="240" w:lineRule="auto"/>
        <w:jc w:val="center"/>
        <w:rPr>
          <w:sz w:val="24"/>
          <w:szCs w:val="24"/>
        </w:rPr>
      </w:pPr>
      <w:bookmarkStart w:id="0" w:name="_heading=h.rpybe3u4o9ee" w:colFirst="0" w:colLast="0"/>
      <w:bookmarkEnd w:id="0"/>
      <w:r>
        <w:rPr>
          <w:sz w:val="24"/>
          <w:szCs w:val="24"/>
        </w:rPr>
        <w:t xml:space="preserve">Figure 3. The </w:t>
      </w:r>
      <w:r>
        <w:rPr>
          <w:i/>
          <w:sz w:val="24"/>
          <w:szCs w:val="24"/>
        </w:rPr>
        <w:t xml:space="preserve">System Architecture-Function-Outcome </w:t>
      </w:r>
      <w:r>
        <w:rPr>
          <w:sz w:val="24"/>
          <w:szCs w:val="24"/>
        </w:rPr>
        <w:t>framework template applied to a bicycle. Red font: system of interest. Blue font: boundary system.</w:t>
      </w:r>
    </w:p>
    <w:p w14:paraId="125C30A4" w14:textId="77777777" w:rsidR="00AF16ED" w:rsidRDefault="00AF16ED">
      <w:pPr>
        <w:rPr>
          <w:b/>
          <w:sz w:val="24"/>
          <w:szCs w:val="24"/>
        </w:rPr>
      </w:pPr>
    </w:p>
    <w:p w14:paraId="75C2C357" w14:textId="77777777" w:rsidR="00AF16ED" w:rsidRDefault="00000000">
      <w:pPr>
        <w:rPr>
          <w:b/>
          <w:sz w:val="24"/>
          <w:szCs w:val="24"/>
        </w:rPr>
      </w:pPr>
      <w:r>
        <w:rPr>
          <w:b/>
          <w:sz w:val="24"/>
          <w:szCs w:val="24"/>
        </w:rPr>
        <w:t>References</w:t>
      </w:r>
    </w:p>
    <w:p w14:paraId="4BCCD08C"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E. Crawley, B. Cameron and D. Selva, System Architecture: Strategy and Product Development for Complex Systems, Pearson Higher Education, Hoboken, pp. 8-34, 2015. </w:t>
      </w:r>
    </w:p>
    <w:p w14:paraId="0B6972F0"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National Research Council, Education for Life and Work: Developing Transferable Knowledge and Skills in the 21st Century, National Academies Press, Washington, DC, 2013. </w:t>
      </w:r>
    </w:p>
    <w:p w14:paraId="676B2020"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ABET, Criterion 3. Student outcomes from criteria for Accrediting Engineering Programs, 20</w:t>
      </w:r>
      <w:r>
        <w:rPr>
          <w:sz w:val="24"/>
          <w:szCs w:val="24"/>
        </w:rPr>
        <w:t>25</w:t>
      </w:r>
      <w:r>
        <w:rPr>
          <w:color w:val="000000"/>
          <w:sz w:val="24"/>
          <w:szCs w:val="24"/>
        </w:rPr>
        <w:t>–20</w:t>
      </w:r>
      <w:r>
        <w:rPr>
          <w:sz w:val="24"/>
          <w:szCs w:val="24"/>
        </w:rPr>
        <w:t>26</w:t>
      </w:r>
      <w:r>
        <w:rPr>
          <w:color w:val="000000"/>
          <w:sz w:val="24"/>
          <w:szCs w:val="24"/>
        </w:rPr>
        <w:t>, 20</w:t>
      </w:r>
      <w:r>
        <w:rPr>
          <w:sz w:val="24"/>
          <w:szCs w:val="24"/>
        </w:rPr>
        <w:t>25</w:t>
      </w:r>
      <w:r>
        <w:rPr>
          <w:color w:val="000000"/>
          <w:sz w:val="24"/>
          <w:szCs w:val="24"/>
        </w:rPr>
        <w:t>.</w:t>
      </w:r>
    </w:p>
    <w:p w14:paraId="13BC5BA5"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H. Jang, </w:t>
      </w:r>
      <w:proofErr w:type="gramStart"/>
      <w:r>
        <w:rPr>
          <w:color w:val="000000"/>
          <w:sz w:val="24"/>
          <w:szCs w:val="24"/>
        </w:rPr>
        <w:t>Identifying</w:t>
      </w:r>
      <w:proofErr w:type="gramEnd"/>
      <w:r>
        <w:rPr>
          <w:color w:val="000000"/>
          <w:sz w:val="24"/>
          <w:szCs w:val="24"/>
        </w:rPr>
        <w:t xml:space="preserve"> 21st century STEM competencies using workplace data, Journal of Science Education and Technology, 25(2), pp. 284–301, 2016.</w:t>
      </w:r>
    </w:p>
    <w:p w14:paraId="3C14919F"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D. Dori, H. Sillitoe, R. M. Griego, D. McKinney, E. P. Arnold, P. Godfrey, ... and D., Krob, System definition, system worldviews, and </w:t>
      </w:r>
      <w:proofErr w:type="spellStart"/>
      <w:r>
        <w:rPr>
          <w:color w:val="000000"/>
          <w:sz w:val="24"/>
          <w:szCs w:val="24"/>
        </w:rPr>
        <w:t>systemness</w:t>
      </w:r>
      <w:proofErr w:type="spellEnd"/>
      <w:r>
        <w:rPr>
          <w:color w:val="000000"/>
          <w:sz w:val="24"/>
          <w:szCs w:val="24"/>
        </w:rPr>
        <w:t xml:space="preserve"> characteristics, IEEE Systems Journal, 14(2), pp. 1538-1548, 2019.</w:t>
      </w:r>
    </w:p>
    <w:p w14:paraId="7C2361F1"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R. D. Arnold and J. P. Wade, A definition of systems thinking: A systems approach, Procedia Computer Science, 44, pp. 669-678, 2015.</w:t>
      </w:r>
    </w:p>
    <w:p w14:paraId="74714AF1"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D. Dori, Model-Based Systems Engineering with OPM and </w:t>
      </w:r>
      <w:proofErr w:type="spellStart"/>
      <w:r>
        <w:rPr>
          <w:color w:val="000000"/>
          <w:sz w:val="24"/>
          <w:szCs w:val="24"/>
        </w:rPr>
        <w:t>SysML</w:t>
      </w:r>
      <w:proofErr w:type="spellEnd"/>
      <w:r>
        <w:rPr>
          <w:color w:val="000000"/>
          <w:sz w:val="24"/>
          <w:szCs w:val="24"/>
        </w:rPr>
        <w:t>, Springer, New York, pp. 3-395, 2016.</w:t>
      </w:r>
    </w:p>
    <w:p w14:paraId="3954EB13"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INCOSE, </w:t>
      </w:r>
      <w:proofErr w:type="gramStart"/>
      <w:r>
        <w:rPr>
          <w:color w:val="000000"/>
          <w:sz w:val="24"/>
          <w:szCs w:val="24"/>
        </w:rPr>
        <w:t>Most</w:t>
      </w:r>
      <w:proofErr w:type="gramEnd"/>
      <w:r>
        <w:rPr>
          <w:color w:val="000000"/>
          <w:sz w:val="24"/>
          <w:szCs w:val="24"/>
        </w:rPr>
        <w:t xml:space="preserve"> general “System” definition, https://www.incose.org/about-systems-engineering/system-and-se-definition/system-and-se-definitions, Accessed 1 July 2022.</w:t>
      </w:r>
    </w:p>
    <w:p w14:paraId="09CB048F"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P. N. Whitehead, W. T. Scherer and M. C. Smith, Systems thinking about systems thinking a proposal for a common language, IEEE Systems Journal, 9(4), pp. 1117-1128, 2015.</w:t>
      </w:r>
    </w:p>
    <w:p w14:paraId="4C7A8E75"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sz w:val="24"/>
          <w:szCs w:val="24"/>
        </w:rPr>
        <w:t xml:space="preserve">Lavi, R., &amp; Bertel, L. B. (2024). The System Architecture-Function-Outcome framework for fostering and assessing systems thinking in first-year STEM </w:t>
      </w:r>
      <w:r>
        <w:rPr>
          <w:sz w:val="24"/>
          <w:szCs w:val="24"/>
        </w:rPr>
        <w:lastRenderedPageBreak/>
        <w:t>education and its potential applications in case-based learning. Education Sciences, 14(7), 720.</w:t>
      </w:r>
    </w:p>
    <w:p w14:paraId="14B7F44D" w14:textId="77777777" w:rsidR="00AF16ED" w:rsidRDefault="00000000">
      <w:pPr>
        <w:numPr>
          <w:ilvl w:val="0"/>
          <w:numId w:val="1"/>
        </w:numPr>
        <w:pBdr>
          <w:top w:val="nil"/>
          <w:left w:val="nil"/>
          <w:bottom w:val="nil"/>
          <w:right w:val="nil"/>
          <w:between w:val="nil"/>
        </w:pBdr>
        <w:spacing w:line="240" w:lineRule="auto"/>
        <w:rPr>
          <w:color w:val="000000"/>
          <w:sz w:val="24"/>
          <w:szCs w:val="24"/>
        </w:rPr>
      </w:pPr>
      <w:r>
        <w:rPr>
          <w:color w:val="000000"/>
          <w:sz w:val="24"/>
          <w:szCs w:val="24"/>
        </w:rPr>
        <w:t xml:space="preserve">S. A. Sheard and A. </w:t>
      </w:r>
      <w:proofErr w:type="spellStart"/>
      <w:r>
        <w:rPr>
          <w:color w:val="000000"/>
          <w:sz w:val="24"/>
          <w:szCs w:val="24"/>
        </w:rPr>
        <w:t>Mostashari</w:t>
      </w:r>
      <w:proofErr w:type="spellEnd"/>
      <w:r>
        <w:rPr>
          <w:color w:val="000000"/>
          <w:sz w:val="24"/>
          <w:szCs w:val="24"/>
        </w:rPr>
        <w:t>, Principles of complex systems for systems engineering, Systems Engineering, 12(4), pp. 295-311, 2009.</w:t>
      </w:r>
    </w:p>
    <w:p w14:paraId="32BBEB63" w14:textId="6E41FC85" w:rsidR="00941263" w:rsidRDefault="00941263">
      <w:pPr>
        <w:rPr>
          <w:color w:val="000000"/>
          <w:sz w:val="24"/>
          <w:szCs w:val="24"/>
        </w:rPr>
      </w:pPr>
      <w:r>
        <w:rPr>
          <w:color w:val="000000"/>
          <w:sz w:val="24"/>
          <w:szCs w:val="24"/>
        </w:rPr>
        <w:br w:type="page"/>
      </w:r>
    </w:p>
    <w:p w14:paraId="2335554C" w14:textId="77777777" w:rsidR="00941263" w:rsidRPr="0065769D" w:rsidRDefault="00941263" w:rsidP="00941263">
      <w:pPr>
        <w:rPr>
          <w:sz w:val="20"/>
        </w:rPr>
      </w:pPr>
      <w:r w:rsidRPr="0065769D">
        <w:rPr>
          <w:sz w:val="20"/>
        </w:rPr>
        <w:lastRenderedPageBreak/>
        <w:t xml:space="preserve">MIT </w:t>
      </w:r>
      <w:proofErr w:type="spellStart"/>
      <w:r w:rsidRPr="0065769D">
        <w:rPr>
          <w:sz w:val="20"/>
        </w:rPr>
        <w:t>OpenCourseWare</w:t>
      </w:r>
      <w:proofErr w:type="spellEnd"/>
    </w:p>
    <w:p w14:paraId="50160439" w14:textId="77777777" w:rsidR="00941263" w:rsidRPr="0065769D" w:rsidRDefault="00941263" w:rsidP="00941263">
      <w:pPr>
        <w:rPr>
          <w:sz w:val="20"/>
        </w:rPr>
      </w:pPr>
      <w:hyperlink r:id="rId11" w:history="1">
        <w:r w:rsidRPr="006F3AD2">
          <w:rPr>
            <w:rStyle w:val="Hyperlink"/>
            <w:sz w:val="20"/>
          </w:rPr>
          <w:t>https://ocw.mit.edu/</w:t>
        </w:r>
      </w:hyperlink>
    </w:p>
    <w:p w14:paraId="77ACE0B6" w14:textId="77777777" w:rsidR="00941263" w:rsidRPr="0065769D" w:rsidRDefault="00941263" w:rsidP="00941263">
      <w:pPr>
        <w:rPr>
          <w:sz w:val="20"/>
        </w:rPr>
      </w:pPr>
    </w:p>
    <w:p w14:paraId="3E35966F" w14:textId="77777777" w:rsidR="00941263" w:rsidRPr="0065769D" w:rsidRDefault="00941263" w:rsidP="00941263"/>
    <w:p w14:paraId="28D904F4" w14:textId="77777777" w:rsidR="00941263" w:rsidRPr="0065769D" w:rsidRDefault="00941263" w:rsidP="00941263"/>
    <w:p w14:paraId="289FDC4F" w14:textId="77777777" w:rsidR="00941263" w:rsidRPr="0065769D" w:rsidRDefault="00941263" w:rsidP="00941263">
      <w:r>
        <w:t>SP</w:t>
      </w:r>
      <w:r w:rsidRPr="0065769D">
        <w:t>.</w:t>
      </w:r>
      <w:r>
        <w:t>248</w:t>
      </w:r>
      <w:r w:rsidRPr="0065769D">
        <w:t xml:space="preserve"> </w:t>
      </w:r>
      <w:r>
        <w:t>The NEET Experience</w:t>
      </w:r>
    </w:p>
    <w:p w14:paraId="17D38A1C" w14:textId="77777777" w:rsidR="00941263" w:rsidRPr="0065769D" w:rsidRDefault="00941263" w:rsidP="00941263">
      <w:pPr>
        <w:rPr>
          <w:sz w:val="20"/>
        </w:rPr>
      </w:pPr>
      <w:r>
        <w:rPr>
          <w:sz w:val="20"/>
        </w:rPr>
        <w:t>Fall</w:t>
      </w:r>
      <w:r w:rsidRPr="0065769D">
        <w:rPr>
          <w:sz w:val="20"/>
        </w:rPr>
        <w:t xml:space="preserve"> 20</w:t>
      </w:r>
      <w:r>
        <w:rPr>
          <w:sz w:val="20"/>
        </w:rPr>
        <w:t>25</w:t>
      </w:r>
    </w:p>
    <w:p w14:paraId="29660B9F" w14:textId="77777777" w:rsidR="00941263" w:rsidRPr="0065769D" w:rsidRDefault="00941263" w:rsidP="00941263">
      <w:pPr>
        <w:rPr>
          <w:sz w:val="20"/>
        </w:rPr>
      </w:pPr>
    </w:p>
    <w:p w14:paraId="4AD8961F" w14:textId="77777777" w:rsidR="00941263" w:rsidRPr="0065769D" w:rsidRDefault="00941263" w:rsidP="00941263">
      <w:pPr>
        <w:rPr>
          <w:sz w:val="20"/>
        </w:rPr>
      </w:pPr>
    </w:p>
    <w:p w14:paraId="7204086A" w14:textId="77777777" w:rsidR="00941263" w:rsidRPr="0065769D" w:rsidRDefault="00941263" w:rsidP="00941263">
      <w:pPr>
        <w:rPr>
          <w:sz w:val="20"/>
        </w:rPr>
      </w:pPr>
    </w:p>
    <w:p w14:paraId="1FC3AC97" w14:textId="77777777" w:rsidR="00941263" w:rsidRPr="0065769D" w:rsidRDefault="00941263" w:rsidP="00941263">
      <w:pPr>
        <w:rPr>
          <w:sz w:val="20"/>
        </w:rPr>
      </w:pPr>
      <w:r w:rsidRPr="0065769D">
        <w:rPr>
          <w:sz w:val="20"/>
        </w:rPr>
        <w:t xml:space="preserve">For information about citing these materials or our Terms of Use, visit: </w:t>
      </w:r>
      <w:hyperlink r:id="rId12" w:history="1">
        <w:r w:rsidRPr="006F3AD2">
          <w:rPr>
            <w:rStyle w:val="Hyperlink"/>
            <w:sz w:val="20"/>
          </w:rPr>
          <w:t>https://ocw.mit.edu/terms</w:t>
        </w:r>
      </w:hyperlink>
      <w:r w:rsidRPr="0065769D">
        <w:rPr>
          <w:sz w:val="20"/>
        </w:rPr>
        <w:t xml:space="preserve">. </w:t>
      </w:r>
    </w:p>
    <w:p w14:paraId="30C0EDDB" w14:textId="77777777" w:rsidR="00941263" w:rsidRPr="003978CD" w:rsidRDefault="00941263" w:rsidP="00941263">
      <w:pPr>
        <w:rPr>
          <w:b/>
          <w:sz w:val="20"/>
        </w:rPr>
      </w:pPr>
    </w:p>
    <w:p w14:paraId="7481660F" w14:textId="77777777" w:rsidR="00941263" w:rsidRDefault="00941263" w:rsidP="00941263">
      <w:pPr>
        <w:pBdr>
          <w:top w:val="nil"/>
          <w:left w:val="nil"/>
          <w:bottom w:val="nil"/>
          <w:right w:val="nil"/>
          <w:between w:val="nil"/>
        </w:pBdr>
        <w:spacing w:line="240" w:lineRule="auto"/>
        <w:rPr>
          <w:color w:val="000000"/>
          <w:sz w:val="24"/>
          <w:szCs w:val="24"/>
        </w:rPr>
      </w:pPr>
    </w:p>
    <w:sectPr w:rsidR="00941263">
      <w:footerReference w:type="defaul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A63AF" w14:textId="77777777" w:rsidR="00793FAD" w:rsidRDefault="00793FAD">
      <w:pPr>
        <w:spacing w:line="240" w:lineRule="auto"/>
      </w:pPr>
      <w:r>
        <w:separator/>
      </w:r>
    </w:p>
  </w:endnote>
  <w:endnote w:type="continuationSeparator" w:id="0">
    <w:p w14:paraId="7E6511AB" w14:textId="77777777" w:rsidR="00793FAD" w:rsidRDefault="00793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D7981" w14:textId="77777777" w:rsidR="00AF16ED" w:rsidRDefault="00000000">
    <w:pPr>
      <w:jc w:val="right"/>
    </w:pPr>
    <w:r>
      <w:fldChar w:fldCharType="begin"/>
    </w:r>
    <w:r>
      <w:instrText>PAGE</w:instrText>
    </w:r>
    <w:r>
      <w:fldChar w:fldCharType="separate"/>
    </w:r>
    <w:r w:rsidR="00941263">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97F9" w14:textId="77777777" w:rsidR="00AF16ED" w:rsidRDefault="00AF1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D356" w14:textId="77777777" w:rsidR="00793FAD" w:rsidRDefault="00793FAD">
      <w:pPr>
        <w:spacing w:line="240" w:lineRule="auto"/>
      </w:pPr>
      <w:r>
        <w:separator/>
      </w:r>
    </w:p>
  </w:footnote>
  <w:footnote w:type="continuationSeparator" w:id="0">
    <w:p w14:paraId="4813D1F9" w14:textId="77777777" w:rsidR="00793FAD" w:rsidRDefault="00793F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C70"/>
    <w:multiLevelType w:val="multilevel"/>
    <w:tmpl w:val="FD5E8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9344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ED"/>
    <w:rsid w:val="00793FAD"/>
    <w:rsid w:val="00941263"/>
    <w:rsid w:val="00AB5F27"/>
    <w:rsid w:val="00AF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C163A0"/>
  <w15:docId w15:val="{EC0EF949-DC5F-694A-9A25-6F7C2F23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rsid w:val="007961B7"/>
    <w:pPr>
      <w:ind w:left="720"/>
      <w:contextualSpacing/>
    </w:pPr>
  </w:style>
  <w:style w:type="paragraph" w:styleId="FootnoteText">
    <w:name w:val="footnote text"/>
    <w:basedOn w:val="Normal"/>
    <w:link w:val="FootnoteTextChar"/>
    <w:uiPriority w:val="99"/>
    <w:semiHidden/>
    <w:unhideWhenUsed/>
    <w:rsid w:val="00A01E34"/>
    <w:pPr>
      <w:spacing w:line="240" w:lineRule="auto"/>
    </w:pPr>
    <w:rPr>
      <w:sz w:val="20"/>
      <w:szCs w:val="20"/>
    </w:rPr>
  </w:style>
  <w:style w:type="character" w:customStyle="1" w:styleId="FootnoteTextChar">
    <w:name w:val="Footnote Text Char"/>
    <w:basedOn w:val="DefaultParagraphFont"/>
    <w:link w:val="FootnoteText"/>
    <w:uiPriority w:val="99"/>
    <w:semiHidden/>
    <w:rsid w:val="00A01E34"/>
    <w:rPr>
      <w:sz w:val="20"/>
      <w:szCs w:val="20"/>
    </w:rPr>
  </w:style>
  <w:style w:type="character" w:styleId="FootnoteReference">
    <w:name w:val="footnote reference"/>
    <w:basedOn w:val="DefaultParagraphFont"/>
    <w:uiPriority w:val="99"/>
    <w:semiHidden/>
    <w:unhideWhenUsed/>
    <w:rsid w:val="00A01E34"/>
    <w:rPr>
      <w:vertAlign w:val="superscript"/>
    </w:rPr>
  </w:style>
  <w:style w:type="paragraph" w:styleId="NormalWeb">
    <w:name w:val="Normal (Web)"/>
    <w:basedOn w:val="Normal"/>
    <w:uiPriority w:val="99"/>
    <w:semiHidden/>
    <w:unhideWhenUsed/>
    <w:rsid w:val="00B81EF4"/>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rsid w:val="009412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w.mit.edu/term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w.mit.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ZQaKstBM8xdjCfLlYuuArLMWQ==">CgMxLjAyDmgucnB5YmUzdTRvOWVlOAByITFuTjNtOWd4dVI1enZ1SjN1dGtFNnR3ekpUb3ItU0YxRw==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 Lavi</dc:creator>
  <cp:lastModifiedBy>H. Sharon Lin</cp:lastModifiedBy>
  <cp:revision>2</cp:revision>
  <dcterms:created xsi:type="dcterms:W3CDTF">2023-10-03T02:32:00Z</dcterms:created>
  <dcterms:modified xsi:type="dcterms:W3CDTF">2026-06-09T21:53:00Z</dcterms:modified>
</cp:coreProperties>
</file>