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057C6" w:rsidRDefault="0048635B">
      <w:pPr>
        <w:pStyle w:val="Title"/>
        <w:rPr>
          <w:rFonts w:ascii="Bitter" w:eastAsia="Bitter" w:hAnsi="Bitter" w:cs="Bitter"/>
          <w:sz w:val="42"/>
          <w:szCs w:val="42"/>
        </w:rPr>
      </w:pPr>
      <w:bookmarkStart w:id="0" w:name="_dnnm50ytsdv3" w:colFirst="0" w:colLast="0"/>
      <w:bookmarkStart w:id="1" w:name="_GoBack"/>
      <w:bookmarkEnd w:id="0"/>
      <w:bookmarkEnd w:id="1"/>
      <w:r>
        <w:rPr>
          <w:rFonts w:ascii="Bitter" w:eastAsia="Bitter" w:hAnsi="Bitter" w:cs="Bitter"/>
          <w:sz w:val="42"/>
          <w:szCs w:val="42"/>
        </w:rPr>
        <w:t>A4 Rubric</w:t>
      </w:r>
    </w:p>
    <w:p w14:paraId="00000002" w14:textId="77777777" w:rsidR="004057C6" w:rsidRDefault="0048635B">
      <w:pPr>
        <w:spacing w:before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100 points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total</w:t>
      </w:r>
      <w:proofErr w:type="gramEnd"/>
    </w:p>
    <w:p w14:paraId="00000003" w14:textId="77777777" w:rsidR="004057C6" w:rsidRDefault="0048635B">
      <w:pPr>
        <w:spacing w:before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(34 points) Wireframing</w:t>
      </w:r>
    </w:p>
    <w:p w14:paraId="00000004" w14:textId="77777777" w:rsidR="004057C6" w:rsidRDefault="0048635B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30 points </w:t>
      </w:r>
      <w:r>
        <w:rPr>
          <w:rFonts w:ascii="Roboto" w:eastAsia="Roboto" w:hAnsi="Roboto" w:cs="Roboto"/>
          <w:sz w:val="20"/>
          <w:szCs w:val="20"/>
        </w:rPr>
        <w:t xml:space="preserve">for a collection of reasonably designed wireframes for the concepts of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refreeting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r>
        <w:rPr>
          <w:rFonts w:ascii="Roboto" w:eastAsia="Roboto" w:hAnsi="Roboto" w:cs="Roboto"/>
          <w:i/>
          <w:sz w:val="20"/>
          <w:szCs w:val="20"/>
        </w:rPr>
        <w:t>upvoting</w:t>
      </w:r>
      <w:r>
        <w:rPr>
          <w:rFonts w:ascii="Roboto" w:eastAsia="Roboto" w:hAnsi="Roboto" w:cs="Roboto"/>
          <w:sz w:val="20"/>
          <w:szCs w:val="20"/>
        </w:rPr>
        <w:t xml:space="preserve"> and </w:t>
      </w:r>
      <w:r>
        <w:rPr>
          <w:rFonts w:ascii="Roboto" w:eastAsia="Roboto" w:hAnsi="Roboto" w:cs="Roboto"/>
          <w:i/>
          <w:sz w:val="20"/>
          <w:szCs w:val="20"/>
        </w:rPr>
        <w:t>following</w:t>
      </w:r>
      <w:r>
        <w:rPr>
          <w:rFonts w:ascii="Roboto" w:eastAsia="Roboto" w:hAnsi="Roboto" w:cs="Roboto"/>
          <w:sz w:val="20"/>
          <w:szCs w:val="20"/>
        </w:rPr>
        <w:t>.</w:t>
      </w:r>
    </w:p>
    <w:p w14:paraId="00000005" w14:textId="77777777" w:rsidR="004057C6" w:rsidRDefault="0048635B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4 points </w:t>
      </w:r>
      <w:r>
        <w:rPr>
          <w:rFonts w:ascii="Roboto" w:eastAsia="Roboto" w:hAnsi="Roboto" w:cs="Roboto"/>
          <w:sz w:val="20"/>
          <w:szCs w:val="20"/>
        </w:rPr>
        <w:t>for showing the flow between wireframes.</w:t>
      </w:r>
    </w:p>
    <w:p w14:paraId="00000006" w14:textId="0F3E5BEF" w:rsidR="004057C6" w:rsidRDefault="0048635B">
      <w:pPr>
        <w:spacing w:before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(26 points) Heuristic Evaluation</w:t>
      </w:r>
    </w:p>
    <w:p w14:paraId="00000007" w14:textId="77777777" w:rsidR="004057C6" w:rsidRDefault="0048635B">
      <w:pPr>
        <w:numPr>
          <w:ilvl w:val="0"/>
          <w:numId w:val="3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</w:t>
      </w:r>
      <w:r>
        <w:rPr>
          <w:rFonts w:ascii="Roboto" w:eastAsia="Roboto" w:hAnsi="Roboto" w:cs="Roboto"/>
          <w:sz w:val="20"/>
          <w:szCs w:val="20"/>
        </w:rPr>
        <w:t xml:space="preserve"> each for an example for each of the 13 heuristics. </w:t>
      </w:r>
    </w:p>
    <w:p w14:paraId="00000008" w14:textId="6659A9ED" w:rsidR="004057C6" w:rsidRDefault="0048635B">
      <w:pPr>
        <w:spacing w:before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(19 points) User Testing</w:t>
      </w:r>
    </w:p>
    <w:p w14:paraId="00000009" w14:textId="77777777" w:rsidR="004057C6" w:rsidRDefault="0048635B">
      <w:pPr>
        <w:numPr>
          <w:ilvl w:val="0"/>
          <w:numId w:val="4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specifying appropriate tasks for the user to complete.</w:t>
      </w:r>
    </w:p>
    <w:p w14:paraId="0000000A" w14:textId="77777777" w:rsidR="004057C6" w:rsidRDefault="0048635B">
      <w:pPr>
        <w:numPr>
          <w:ilvl w:val="0"/>
          <w:numId w:val="4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10 points </w:t>
      </w:r>
      <w:r>
        <w:rPr>
          <w:rFonts w:ascii="Roboto" w:eastAsia="Roboto" w:hAnsi="Roboto" w:cs="Roboto"/>
          <w:sz w:val="20"/>
          <w:szCs w:val="20"/>
        </w:rPr>
        <w:t>for summarizing your observations of the user testing.</w:t>
      </w:r>
    </w:p>
    <w:p w14:paraId="0000000B" w14:textId="77777777" w:rsidR="004057C6" w:rsidRDefault="0048635B">
      <w:pPr>
        <w:numPr>
          <w:ilvl w:val="0"/>
          <w:numId w:val="4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</w:t>
      </w:r>
      <w:r>
        <w:rPr>
          <w:rFonts w:ascii="Roboto" w:eastAsia="Roboto" w:hAnsi="Roboto" w:cs="Roboto"/>
          <w:sz w:val="20"/>
          <w:szCs w:val="20"/>
        </w:rPr>
        <w:t xml:space="preserve"> for describing changes you would make in response to your observations.</w:t>
      </w:r>
    </w:p>
    <w:p w14:paraId="0000000C" w14:textId="77777777" w:rsidR="004057C6" w:rsidRDefault="004057C6">
      <w:pPr>
        <w:rPr>
          <w:rFonts w:ascii="Roboto" w:eastAsia="Roboto" w:hAnsi="Roboto" w:cs="Roboto"/>
          <w:b/>
          <w:sz w:val="20"/>
          <w:szCs w:val="20"/>
        </w:rPr>
      </w:pPr>
    </w:p>
    <w:p w14:paraId="0000000D" w14:textId="18D8DB97" w:rsidR="004057C6" w:rsidRDefault="0048635B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(21 points) Ethical implications</w:t>
      </w:r>
    </w:p>
    <w:p w14:paraId="0000000E" w14:textId="526CF84F" w:rsidR="004057C6" w:rsidRPr="0048635B" w:rsidRDefault="0048635B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21 points </w:t>
      </w:r>
      <w:r>
        <w:rPr>
          <w:rFonts w:ascii="Roboto" w:eastAsia="Roboto" w:hAnsi="Roboto" w:cs="Roboto"/>
          <w:sz w:val="20"/>
          <w:szCs w:val="20"/>
        </w:rPr>
        <w:t>3 points for a compelling answer to each of the seven questions.</w:t>
      </w:r>
    </w:p>
    <w:p w14:paraId="39A90D5D" w14:textId="77777777" w:rsidR="0048635B" w:rsidRDefault="0048635B" w:rsidP="0048635B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rFonts w:ascii="Roboto" w:eastAsia="Roboto" w:hAnsi="Roboto" w:cs="Roboto"/>
          <w:sz w:val="20"/>
          <w:szCs w:val="20"/>
        </w:rP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  <w:sz w:val="24"/>
          <w:szCs w:val="24"/>
          <w:lang w:val="en-US"/>
        </w:rPr>
        <w:t>OpenCourseWare</w:t>
      </w:r>
      <w:proofErr w:type="spellEnd"/>
    </w:p>
    <w:p w14:paraId="25728420" w14:textId="77777777" w:rsidR="0048635B" w:rsidRPr="003A588B" w:rsidRDefault="001B5715" w:rsidP="0048635B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5" w:history="1">
        <w:r w:rsidR="0048635B" w:rsidRPr="008A226D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35438336" w14:textId="77777777" w:rsidR="0048635B" w:rsidRDefault="0048635B" w:rsidP="0048635B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7A0D824F" w14:textId="77777777" w:rsidR="0048635B" w:rsidRDefault="0048635B" w:rsidP="0048635B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Pr="0051783E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</w:p>
    <w:p w14:paraId="734D0CC7" w14:textId="77777777" w:rsidR="0048635B" w:rsidRPr="0005300E" w:rsidRDefault="0048635B" w:rsidP="0048635B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6DF026B3" w14:textId="77777777" w:rsidR="0048635B" w:rsidRDefault="0048635B" w:rsidP="0048635B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31099D56" w14:textId="77777777" w:rsidR="0048635B" w:rsidRPr="003A588B" w:rsidRDefault="0048635B" w:rsidP="0048635B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6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58E5ACE7" w14:textId="77777777" w:rsidR="0048635B" w:rsidRDefault="0048635B" w:rsidP="0048635B"/>
    <w:p w14:paraId="397EE157" w14:textId="53979CFF" w:rsidR="0048635B" w:rsidRDefault="0048635B" w:rsidP="0048635B">
      <w:pPr>
        <w:rPr>
          <w:rFonts w:ascii="Roboto" w:eastAsia="Roboto" w:hAnsi="Roboto" w:cs="Roboto"/>
          <w:b/>
          <w:sz w:val="20"/>
          <w:szCs w:val="20"/>
        </w:rPr>
      </w:pPr>
    </w:p>
    <w:sectPr w:rsidR="004863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6050"/>
    <w:multiLevelType w:val="multilevel"/>
    <w:tmpl w:val="3C645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240DC"/>
    <w:multiLevelType w:val="multilevel"/>
    <w:tmpl w:val="12802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C918B5"/>
    <w:multiLevelType w:val="multilevel"/>
    <w:tmpl w:val="385C7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414CC"/>
    <w:multiLevelType w:val="multilevel"/>
    <w:tmpl w:val="0DFE3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C6"/>
    <w:rsid w:val="001B5715"/>
    <w:rsid w:val="004057C6"/>
    <w:rsid w:val="004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242BD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863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750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A4 Rubric</vt:lpstr>
    </vt:vector>
  </TitlesOfParts>
  <Manager/>
  <Company/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A4 Rubric</dc:title>
  <dc:subject/>
  <dc:creator>Daniel Jackson, Arvind Satyanarayan </dc:creator>
  <cp:keywords/>
  <dc:description/>
  <cp:lastModifiedBy>Microsoft Office User</cp:lastModifiedBy>
  <cp:revision>3</cp:revision>
  <dcterms:created xsi:type="dcterms:W3CDTF">2021-10-07T14:09:00Z</dcterms:created>
  <dcterms:modified xsi:type="dcterms:W3CDTF">2021-10-14T14:22:00Z</dcterms:modified>
  <cp:category/>
</cp:coreProperties>
</file>