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81718" w:rsidRDefault="00FB6528">
      <w:pPr>
        <w:pStyle w:val="Heading1"/>
      </w:pPr>
      <w:r>
        <w:t>Module: Big Data and Personal Privacy</w:t>
      </w:r>
    </w:p>
    <w:p w14:paraId="00000002" w14:textId="77777777" w:rsidR="00981718" w:rsidRDefault="00981718"/>
    <w:p w14:paraId="00000003" w14:textId="77777777" w:rsidR="00981718" w:rsidRDefault="00FB6528">
      <w:pPr>
        <w:rPr>
          <w:b/>
          <w:u w:val="single"/>
        </w:rPr>
      </w:pPr>
      <w:r>
        <w:rPr>
          <w:b/>
          <w:u w:val="single"/>
        </w:rPr>
        <w:t>Readings:</w:t>
      </w:r>
    </w:p>
    <w:p w14:paraId="00000004" w14:textId="77777777" w:rsidR="00981718" w:rsidRDefault="00981718"/>
    <w:p w14:paraId="00000005" w14:textId="77777777" w:rsidR="00981718" w:rsidRDefault="00FB6528">
      <w:r>
        <w:t>Sarah Valentine, </w:t>
      </w:r>
      <w:r>
        <w:rPr>
          <w:i/>
        </w:rPr>
        <w:t>Impoverished Algorithms: Misguided Governments, Flawed Technologies, and Social Control</w:t>
      </w:r>
      <w:r>
        <w:t>. (2019). 46 Fordham </w:t>
      </w:r>
      <w:proofErr w:type="spellStart"/>
      <w:r>
        <w:t>Urb</w:t>
      </w:r>
      <w:proofErr w:type="spellEnd"/>
      <w:r>
        <w:t>. L.J. 364.</w:t>
      </w:r>
    </w:p>
    <w:p w14:paraId="00000006" w14:textId="77777777" w:rsidR="00981718" w:rsidRDefault="00981718"/>
    <w:p w14:paraId="00000007" w14:textId="11711668" w:rsidR="00981718" w:rsidRDefault="000E0ACC">
      <w:r>
        <w:t xml:space="preserve">Boyd, </w:t>
      </w:r>
      <w:proofErr w:type="spellStart"/>
      <w:r>
        <w:t>D</w:t>
      </w:r>
      <w:r w:rsidR="00FB6528">
        <w:t>anah</w:t>
      </w:r>
      <w:proofErr w:type="spellEnd"/>
      <w:r w:rsidR="00FB6528">
        <w:t>, and Kate Crawford. 2012. “Critical Questions for Big Data.” Information, Communication &amp; Society 15(5): 662–679.</w:t>
      </w:r>
    </w:p>
    <w:p w14:paraId="00000008" w14:textId="77777777" w:rsidR="00981718" w:rsidRDefault="00981718"/>
    <w:p w14:paraId="00000009" w14:textId="77777777" w:rsidR="00981718" w:rsidRDefault="00FB6528">
      <w:pPr>
        <w:rPr>
          <w:b/>
          <w:u w:val="single"/>
        </w:rPr>
      </w:pPr>
      <w:r>
        <w:rPr>
          <w:b/>
          <w:u w:val="single"/>
        </w:rPr>
        <w:t>At home exercise:</w:t>
      </w:r>
    </w:p>
    <w:p w14:paraId="0000000A" w14:textId="77777777" w:rsidR="00981718" w:rsidRDefault="00FB6528">
      <w:r>
        <w:t>(</w:t>
      </w:r>
      <w:r>
        <w:rPr>
          <w:i/>
        </w:rPr>
        <w:t>Voluntary</w:t>
      </w:r>
      <w:r>
        <w:t>)</w:t>
      </w:r>
    </w:p>
    <w:p w14:paraId="0000000B" w14:textId="77777777" w:rsidR="00981718" w:rsidRDefault="00981718"/>
    <w:p w14:paraId="0000000C" w14:textId="77777777" w:rsidR="00981718" w:rsidRDefault="00FB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Learn more about your data rights. </w:t>
      </w:r>
      <w:r>
        <w:rPr>
          <w:color w:val="000000"/>
        </w:rPr>
        <w:br/>
      </w:r>
      <w:hyperlink r:id="rId5">
        <w:r>
          <w:rPr>
            <w:color w:val="0563C1"/>
            <w:u w:val="single"/>
          </w:rPr>
          <w:t>https://www.dataprot</w:t>
        </w:r>
        <w:r>
          <w:rPr>
            <w:color w:val="0563C1"/>
            <w:u w:val="single"/>
          </w:rPr>
          <w:t>e</w:t>
        </w:r>
        <w:r>
          <w:rPr>
            <w:color w:val="0563C1"/>
            <w:u w:val="single"/>
          </w:rPr>
          <w:t>ction.ie/en/individuals/know-your-rights/right-access-information</w:t>
        </w:r>
      </w:hyperlink>
      <w:r>
        <w:rPr>
          <w:color w:val="000000"/>
        </w:rPr>
        <w:br/>
      </w:r>
      <w:hyperlink r:id="rId6" w:anchor="superpower">
        <w:r>
          <w:rPr>
            <w:color w:val="0563C1"/>
            <w:u w:val="single"/>
          </w:rPr>
          <w:t>https://tapmydata.com/features/#superpower</w:t>
        </w:r>
      </w:hyperlink>
    </w:p>
    <w:p w14:paraId="0000000D" w14:textId="77777777" w:rsidR="00981718" w:rsidRDefault="00FB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Access your dat</w:t>
      </w:r>
      <w:r>
        <w:rPr>
          <w:color w:val="000000"/>
        </w:rPr>
        <w:t>a from three websites/services you frequently use (Examples: Facebook, Twitter, Instagram, Google etc.)</w:t>
      </w:r>
    </w:p>
    <w:p w14:paraId="0000000E" w14:textId="77777777" w:rsidR="00981718" w:rsidRDefault="00FB6528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i/>
          <w:color w:val="000000"/>
        </w:rPr>
        <w:t>Tip: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Tapmydata</w:t>
      </w:r>
      <w:proofErr w:type="spellEnd"/>
      <w:r>
        <w:rPr>
          <w:color w:val="000000"/>
        </w:rPr>
        <w:t xml:space="preserve"> is an application that makes it easy to send these requests. (Remember however that after a certain point in the process, they might ask </w:t>
      </w:r>
      <w:r>
        <w:rPr>
          <w:color w:val="000000"/>
        </w:rPr>
        <w:t>you to use your data in a particular way.)</w:t>
      </w:r>
    </w:p>
    <w:p w14:paraId="0000000F" w14:textId="77777777" w:rsidR="00981718" w:rsidRDefault="00FB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Write and post a short 200-word reflection on what you found and whether what you found surprised you. Think reflection should incorporate insights from the two readings for this week, particularly the sections on</w:t>
      </w:r>
      <w:r>
        <w:rPr>
          <w:color w:val="000000"/>
        </w:rPr>
        <w:t xml:space="preserve"> data triangulation and commercialization.</w:t>
      </w:r>
    </w:p>
    <w:p w14:paraId="00000010" w14:textId="77777777" w:rsidR="00981718" w:rsidRDefault="00FB65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Read your classmates posts.</w:t>
      </w:r>
    </w:p>
    <w:p w14:paraId="00000011" w14:textId="77777777" w:rsidR="00981718" w:rsidRDefault="00981718"/>
    <w:p w14:paraId="00000012" w14:textId="77777777" w:rsidR="00981718" w:rsidRDefault="00FB6528">
      <w:pPr>
        <w:rPr>
          <w:b/>
          <w:u w:val="single"/>
        </w:rPr>
      </w:pPr>
      <w:r>
        <w:rPr>
          <w:b/>
          <w:u w:val="single"/>
        </w:rPr>
        <w:t>In class:</w:t>
      </w:r>
    </w:p>
    <w:p w14:paraId="00000013" w14:textId="77777777" w:rsidR="00981718" w:rsidRDefault="00981718">
      <w:pPr>
        <w:rPr>
          <w:u w:val="single"/>
        </w:rPr>
      </w:pPr>
    </w:p>
    <w:p w14:paraId="00000014" w14:textId="77777777" w:rsidR="00981718" w:rsidRDefault="00FB6528">
      <w:r>
        <w:t xml:space="preserve">Discussion of the key points of the articles and of the student responses. </w:t>
      </w:r>
    </w:p>
    <w:p w14:paraId="00000015" w14:textId="77777777" w:rsidR="00981718" w:rsidRDefault="00981718"/>
    <w:p w14:paraId="00000016" w14:textId="77777777" w:rsidR="00981718" w:rsidRDefault="00FB6528">
      <w:pPr>
        <w:rPr>
          <w:b/>
          <w:u w:val="single"/>
        </w:rPr>
      </w:pPr>
      <w:r>
        <w:rPr>
          <w:b/>
          <w:u w:val="single"/>
        </w:rPr>
        <w:t>Aims:</w:t>
      </w:r>
      <w:r>
        <w:rPr>
          <w:b/>
          <w:u w:val="single"/>
        </w:rPr>
        <w:br/>
      </w:r>
    </w:p>
    <w:p w14:paraId="00000017" w14:textId="77777777" w:rsidR="00981718" w:rsidRDefault="00FB6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find overlaps and differences in the experience of students learning about their right to privacy</w:t>
      </w:r>
    </w:p>
    <w:p w14:paraId="00000018" w14:textId="77777777" w:rsidR="00981718" w:rsidRDefault="00FB6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discuss whether they believe existing rights to be adequate</w:t>
      </w:r>
    </w:p>
    <w:p w14:paraId="00000019" w14:textId="31716897" w:rsidR="00FB6528" w:rsidRDefault="00FB65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examine whether current ethical standards (such as those instituted by the GDPR) sufficie</w:t>
      </w:r>
      <w:r>
        <w:rPr>
          <w:color w:val="000000"/>
        </w:rPr>
        <w:t>ntly protect their rights (as they exist or as they believe should exist).</w:t>
      </w:r>
      <w:r>
        <w:rPr>
          <w:color w:val="000000"/>
        </w:rPr>
        <w:br/>
      </w:r>
    </w:p>
    <w:p w14:paraId="66C63CB3" w14:textId="77777777" w:rsidR="00FB6528" w:rsidRDefault="00FB6528">
      <w:pPr>
        <w:rPr>
          <w:color w:val="000000"/>
        </w:rPr>
      </w:pPr>
      <w:r>
        <w:rPr>
          <w:color w:val="000000"/>
        </w:rPr>
        <w:br w:type="page"/>
      </w:r>
    </w:p>
    <w:p w14:paraId="5E1382AE" w14:textId="77777777" w:rsidR="00FB6528" w:rsidRDefault="00FB6528" w:rsidP="00FB6528">
      <w:pPr>
        <w:autoSpaceDE w:val="0"/>
        <w:autoSpaceDN w:val="0"/>
        <w:adjustRightInd w:val="0"/>
        <w:rPr>
          <w:rFonts w:ascii="`~[Ñ˛" w:hAnsi="`~[Ñ˛" w:cs="`~[Ñ˛"/>
          <w:color w:val="000000"/>
        </w:rPr>
      </w:pPr>
      <w:r>
        <w:rPr>
          <w:rFonts w:ascii="`~[Ñ˛" w:hAnsi="`~[Ñ˛" w:cs="`~[Ñ˛"/>
          <w:color w:val="000000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</w:rPr>
        <w:t>OpenCourseWare</w:t>
      </w:r>
      <w:proofErr w:type="spellEnd"/>
    </w:p>
    <w:p w14:paraId="2D893D61" w14:textId="77777777" w:rsidR="00FB6528" w:rsidRPr="003A588B" w:rsidRDefault="00FB6528" w:rsidP="00FB6528">
      <w:pPr>
        <w:autoSpaceDE w:val="0"/>
        <w:autoSpaceDN w:val="0"/>
        <w:adjustRightInd w:val="0"/>
        <w:rPr>
          <w:rFonts w:ascii="`~[Ñ˛" w:hAnsi="`~[Ñ˛" w:cs="`~[Ñ˛"/>
          <w:color w:val="0000FF"/>
          <w:u w:val="single"/>
        </w:rPr>
      </w:pPr>
      <w:hyperlink r:id="rId7" w:history="1">
        <w:r w:rsidRPr="0005300E">
          <w:rPr>
            <w:rStyle w:val="Hyperlink"/>
            <w:rFonts w:ascii="`~[Ñ˛" w:hAnsi="`~[Ñ˛" w:cs="`~[Ñ˛"/>
          </w:rPr>
          <w:t>https://ocw.mit.edu</w:t>
        </w:r>
      </w:hyperlink>
    </w:p>
    <w:p w14:paraId="050488DC" w14:textId="77777777" w:rsidR="00FB6528" w:rsidRDefault="00FB6528" w:rsidP="00FB6528">
      <w:pPr>
        <w:autoSpaceDE w:val="0"/>
        <w:autoSpaceDN w:val="0"/>
        <w:adjustRightInd w:val="0"/>
        <w:rPr>
          <w:rFonts w:ascii="`~[Ñ˛" w:hAnsi="`~[Ñ˛" w:cs="`~[Ñ˛"/>
          <w:color w:val="000000"/>
          <w:sz w:val="28"/>
          <w:szCs w:val="28"/>
        </w:rPr>
      </w:pPr>
    </w:p>
    <w:p w14:paraId="1A031280" w14:textId="77777777" w:rsidR="00FB6528" w:rsidRDefault="00FB6528" w:rsidP="00FB6528">
      <w:pPr>
        <w:autoSpaceDE w:val="0"/>
        <w:autoSpaceDN w:val="0"/>
        <w:adjustRightInd w:val="0"/>
        <w:rPr>
          <w:rFonts w:ascii="`~[Ñ˛" w:hAnsi="`~[Ñ˛" w:cs="`~[Ñ˛"/>
          <w:color w:val="000000"/>
          <w:sz w:val="28"/>
          <w:szCs w:val="28"/>
        </w:rPr>
      </w:pPr>
      <w:r>
        <w:rPr>
          <w:rFonts w:ascii="`~[Ñ˛" w:hAnsi="`~[Ñ˛" w:cs="`~[Ñ˛"/>
          <w:color w:val="000000"/>
          <w:sz w:val="28"/>
          <w:szCs w:val="28"/>
        </w:rPr>
        <w:t xml:space="preserve">RES.TLL-008 </w:t>
      </w:r>
      <w:r w:rsidRPr="009D4C6B">
        <w:rPr>
          <w:rFonts w:ascii="`~[Ñ˛" w:hAnsi="`~[Ñ˛" w:cs="`~[Ñ˛"/>
          <w:color w:val="000000"/>
          <w:sz w:val="28"/>
          <w:szCs w:val="28"/>
        </w:rPr>
        <w:t>Social and Ethical Responsibilities of Computing (SERC)</w:t>
      </w:r>
    </w:p>
    <w:p w14:paraId="02E98348" w14:textId="77777777" w:rsidR="00FB6528" w:rsidRPr="0005300E" w:rsidRDefault="00FB6528" w:rsidP="00FB6528">
      <w:pPr>
        <w:autoSpaceDE w:val="0"/>
        <w:autoSpaceDN w:val="0"/>
        <w:adjustRightInd w:val="0"/>
        <w:rPr>
          <w:rFonts w:ascii="`~[Ñ˛" w:hAnsi="`~[Ñ˛" w:cs="`~[Ñ˛"/>
          <w:color w:val="000000"/>
        </w:rPr>
      </w:pPr>
      <w:r w:rsidRPr="0005300E">
        <w:rPr>
          <w:rFonts w:ascii="`~[Ñ˛" w:hAnsi="`~[Ñ˛" w:cs="`~[Ñ˛"/>
          <w:color w:val="000000"/>
        </w:rPr>
        <w:t>Fall 2021</w:t>
      </w:r>
    </w:p>
    <w:p w14:paraId="535E1F45" w14:textId="77777777" w:rsidR="00FB6528" w:rsidRDefault="00FB6528" w:rsidP="00FB6528">
      <w:pPr>
        <w:rPr>
          <w:rFonts w:ascii="`~[Ñ˛" w:hAnsi="`~[Ñ˛" w:cs="`~[Ñ˛"/>
          <w:color w:val="000000"/>
        </w:rPr>
      </w:pPr>
    </w:p>
    <w:p w14:paraId="5CE28A29" w14:textId="77777777" w:rsidR="00FB6528" w:rsidRPr="003A588B" w:rsidRDefault="00FB6528" w:rsidP="00FB6528">
      <w:pPr>
        <w:rPr>
          <w:b/>
          <w:u w:val="single"/>
        </w:rPr>
      </w:pPr>
      <w:r>
        <w:rPr>
          <w:rFonts w:ascii="`~[Ñ˛" w:hAnsi="`~[Ñ˛" w:cs="`~[Ñ˛"/>
          <w:color w:val="000000"/>
        </w:rPr>
        <w:t xml:space="preserve">For information about citing these materials or our Terms of Use, visit: </w:t>
      </w:r>
      <w:hyperlink r:id="rId8" w:history="1">
        <w:r w:rsidRPr="0005300E">
          <w:rPr>
            <w:rStyle w:val="Hyperlink"/>
            <w:rFonts w:ascii="`~[Ñ˛" w:hAnsi="`~[Ñ˛" w:cs="`~[Ñ˛"/>
          </w:rPr>
          <w:t>https://ocw.mit.edu/terms</w:t>
        </w:r>
      </w:hyperlink>
    </w:p>
    <w:p w14:paraId="6FF8A8D2" w14:textId="79DB2D8B" w:rsidR="00981718" w:rsidRDefault="00FB6528" w:rsidP="00FB6528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bookmarkStart w:id="0" w:name="_GoBack"/>
      <w:bookmarkEnd w:id="0"/>
    </w:p>
    <w:sectPr w:rsidR="009817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94A01"/>
    <w:multiLevelType w:val="multilevel"/>
    <w:tmpl w:val="83605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2BFE"/>
    <w:multiLevelType w:val="multilevel"/>
    <w:tmpl w:val="EE2CA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18"/>
    <w:rsid w:val="000E0ACC"/>
    <w:rsid w:val="00981718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3CFA3"/>
  <w15:docId w15:val="{A9D5A71C-4053-8E44-B07C-AD631161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rFonts w:ascii="Calibri" w:eastAsia="Calibri" w:hAnsi="Calibri" w:cs="Calibri"/>
      <w:color w:val="ED7D3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B6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w.mit.edu/te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w.mit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pmydata.com/features/" TargetMode="External"/><Relationship Id="rId5" Type="http://schemas.openxmlformats.org/officeDocument/2006/relationships/hyperlink" Target="https://www.dataprotection.ie/en/individuals/know-your-rights/right-access-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1520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 Social and Ethical Responsibilities (SERC), STS.012/STS.008 Discussion Module</dc:title>
  <dc:subject/>
  <dc:creator>Dwai Banerjee</dc:creator>
  <cp:keywords/>
  <dc:description/>
  <cp:lastModifiedBy>Microsoft Office User</cp:lastModifiedBy>
  <cp:revision>3</cp:revision>
  <dcterms:created xsi:type="dcterms:W3CDTF">2021-11-04T13:44:00Z</dcterms:created>
  <dcterms:modified xsi:type="dcterms:W3CDTF">2021-11-04T13:46:00Z</dcterms:modified>
  <cp:category/>
</cp:coreProperties>
</file>